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rPr>
      </w:pPr>
      <w:r>
        <w:rPr>
          <w:rFonts w:ascii="宋体" w:hAnsi="宋体"/>
        </w:rPr>
        <w:t xml:space="preserve"> </w:t>
      </w:r>
      <w:r>
        <w:t xml:space="preserve"> </w:t>
      </w:r>
    </w:p>
    <w:p>
      <w:pPr>
        <w:jc w:val="center"/>
        <w:rPr>
          <w:rFonts w:hint="eastAsia" w:ascii="宋体" w:hAnsi="宋体" w:cs="宋体"/>
          <w:b/>
          <w:bCs/>
          <w:sz w:val="44"/>
          <w:szCs w:val="44"/>
        </w:rPr>
      </w:pPr>
      <w:r>
        <w:rPr>
          <w:rFonts w:hint="eastAsia" w:ascii="宋体" w:hAnsi="宋体" w:cs="宋体"/>
          <w:b/>
          <w:bCs/>
          <w:sz w:val="44"/>
          <w:szCs w:val="44"/>
        </w:rPr>
        <w:t>广西交通技师学院交通工程试验检测中心</w:t>
      </w:r>
      <w:bookmarkStart w:id="0" w:name="OLE_LINK12"/>
      <w:r>
        <w:rPr>
          <w:rFonts w:hint="eastAsia" w:ascii="宋体" w:hAnsi="宋体" w:cs="宋体"/>
          <w:b/>
          <w:bCs/>
          <w:sz w:val="44"/>
          <w:szCs w:val="44"/>
        </w:rPr>
        <w:t>公路工程试验室仪器设备标定服务采购项目</w:t>
      </w:r>
      <w:bookmarkEnd w:id="0"/>
    </w:p>
    <w:p>
      <w:pPr>
        <w:jc w:val="center"/>
        <w:rPr>
          <w:rFonts w:ascii="宋体" w:hAnsi="宋体" w:cs="宋体"/>
          <w:b/>
          <w:bCs/>
          <w:sz w:val="52"/>
          <w:szCs w:val="52"/>
        </w:rPr>
      </w:pPr>
    </w:p>
    <w:p>
      <w:pPr>
        <w:jc w:val="center"/>
        <w:rPr>
          <w:rFonts w:hint="eastAsia" w:ascii="宋体" w:hAnsi="宋体" w:cs="宋体"/>
          <w:b/>
          <w:sz w:val="72"/>
          <w:szCs w:val="20"/>
        </w:rPr>
      </w:pPr>
      <w:r>
        <w:rPr>
          <w:rFonts w:hint="eastAsia" w:ascii="宋体" w:hAnsi="宋体" w:cs="宋体"/>
          <w:b/>
          <w:sz w:val="72"/>
          <w:szCs w:val="20"/>
        </w:rPr>
        <w:t>采</w:t>
      </w:r>
    </w:p>
    <w:p>
      <w:pPr>
        <w:jc w:val="center"/>
        <w:rPr>
          <w:rFonts w:ascii="宋体" w:hAnsi="宋体" w:cs="宋体"/>
          <w:b/>
          <w:sz w:val="72"/>
          <w:szCs w:val="20"/>
        </w:rPr>
      </w:pPr>
    </w:p>
    <w:p>
      <w:pPr>
        <w:pStyle w:val="100"/>
        <w:jc w:val="center"/>
        <w:rPr>
          <w:rFonts w:hint="eastAsia" w:ascii="宋体" w:hAnsi="宋体" w:cs="宋体"/>
          <w:b/>
          <w:sz w:val="72"/>
          <w:szCs w:val="20"/>
        </w:rPr>
      </w:pPr>
      <w:r>
        <w:rPr>
          <w:rFonts w:hint="eastAsia" w:ascii="宋体" w:hAnsi="宋体" w:cs="宋体"/>
          <w:b/>
          <w:sz w:val="72"/>
          <w:szCs w:val="20"/>
        </w:rPr>
        <w:t>购</w:t>
      </w:r>
    </w:p>
    <w:p>
      <w:pPr>
        <w:pStyle w:val="100"/>
        <w:jc w:val="center"/>
        <w:rPr>
          <w:rFonts w:hint="eastAsia" w:ascii="宋体" w:hAnsi="宋体" w:cs="宋体"/>
          <w:b/>
          <w:sz w:val="72"/>
          <w:szCs w:val="20"/>
        </w:rPr>
      </w:pPr>
    </w:p>
    <w:p>
      <w:pPr>
        <w:jc w:val="center"/>
        <w:rPr>
          <w:rFonts w:ascii="宋体" w:hAnsi="宋体" w:cs="宋体"/>
          <w:b/>
          <w:sz w:val="72"/>
          <w:szCs w:val="20"/>
        </w:rPr>
      </w:pPr>
      <w:r>
        <w:rPr>
          <w:rFonts w:hint="eastAsia" w:ascii="宋体" w:hAnsi="宋体" w:cs="宋体"/>
          <w:b/>
          <w:sz w:val="72"/>
          <w:szCs w:val="20"/>
        </w:rPr>
        <w:t>文</w:t>
      </w:r>
    </w:p>
    <w:p>
      <w:pPr>
        <w:jc w:val="center"/>
        <w:rPr>
          <w:rFonts w:ascii="宋体" w:hAnsi="宋体" w:cs="宋体"/>
          <w:b/>
          <w:sz w:val="72"/>
          <w:szCs w:val="20"/>
        </w:rPr>
      </w:pPr>
    </w:p>
    <w:p>
      <w:pPr>
        <w:jc w:val="center"/>
        <w:rPr>
          <w:rFonts w:ascii="宋体" w:hAnsi="宋体" w:cs="宋体"/>
          <w:b/>
          <w:sz w:val="72"/>
          <w:szCs w:val="20"/>
        </w:rPr>
      </w:pPr>
      <w:r>
        <w:rPr>
          <w:rFonts w:hint="eastAsia" w:ascii="宋体" w:hAnsi="宋体" w:cs="宋体"/>
          <w:b/>
          <w:sz w:val="72"/>
          <w:szCs w:val="20"/>
        </w:rPr>
        <w:t>件</w:t>
      </w:r>
    </w:p>
    <w:p>
      <w:pPr>
        <w:jc w:val="center"/>
        <w:rPr>
          <w:rFonts w:ascii="宋体" w:hAnsi="宋体" w:cs="宋体"/>
          <w:b/>
          <w:sz w:val="72"/>
          <w:szCs w:val="20"/>
        </w:rPr>
      </w:pPr>
    </w:p>
    <w:p>
      <w:pPr>
        <w:spacing w:line="680" w:lineRule="exact"/>
        <w:jc w:val="center"/>
        <w:rPr>
          <w:rFonts w:hint="eastAsia" w:ascii="宋体" w:hAnsi="宋体"/>
          <w:b/>
          <w:sz w:val="32"/>
          <w:szCs w:val="32"/>
        </w:rPr>
      </w:pPr>
      <w:r>
        <w:rPr>
          <w:rFonts w:hint="eastAsia" w:ascii="宋体" w:hAnsi="宋体"/>
          <w:b/>
          <w:sz w:val="32"/>
          <w:szCs w:val="32"/>
        </w:rPr>
        <w:t>采购人： 广西交通技师学院</w:t>
      </w:r>
    </w:p>
    <w:p>
      <w:pPr>
        <w:spacing w:line="520" w:lineRule="exact"/>
        <w:ind w:firstLine="2880" w:firstLineChars="1200"/>
        <w:rPr>
          <w:sz w:val="24"/>
          <w:u w:val="single"/>
        </w:rPr>
      </w:pPr>
    </w:p>
    <w:p>
      <w:pPr>
        <w:spacing w:line="520" w:lineRule="exact"/>
        <w:ind w:firstLine="2640" w:firstLineChars="1100"/>
        <w:rPr>
          <w:rFonts w:hint="eastAsia" w:ascii="宋体" w:hAnsi="宋体"/>
          <w:b/>
          <w:sz w:val="32"/>
          <w:szCs w:val="32"/>
        </w:rPr>
      </w:pPr>
      <w:r>
        <w:rPr>
          <w:sz w:val="24"/>
          <w:u w:val="single"/>
        </w:rPr>
        <w:t xml:space="preserve">  </w:t>
      </w:r>
      <w:r>
        <w:rPr>
          <w:rFonts w:hint="eastAsia"/>
          <w:sz w:val="24"/>
          <w:u w:val="single"/>
        </w:rPr>
        <w:t>2026</w:t>
      </w:r>
      <w:r>
        <w:rPr>
          <w:sz w:val="24"/>
          <w:u w:val="single"/>
        </w:rPr>
        <w:t xml:space="preserve">  </w:t>
      </w:r>
      <w:r>
        <w:rPr>
          <w:rFonts w:hint="eastAsia" w:ascii="宋体" w:hAnsi="宋体"/>
          <w:b/>
          <w:sz w:val="32"/>
          <w:szCs w:val="32"/>
        </w:rPr>
        <w:t>年</w:t>
      </w:r>
      <w:r>
        <w:rPr>
          <w:sz w:val="24"/>
          <w:u w:val="single"/>
        </w:rPr>
        <w:t xml:space="preserve">  </w:t>
      </w:r>
      <w:r>
        <w:rPr>
          <w:rFonts w:hint="eastAsia"/>
          <w:sz w:val="24"/>
          <w:u w:val="single"/>
        </w:rPr>
        <w:t>6</w:t>
      </w:r>
      <w:r>
        <w:rPr>
          <w:sz w:val="24"/>
          <w:u w:val="single"/>
        </w:rPr>
        <w:t xml:space="preserve">  </w:t>
      </w:r>
      <w:r>
        <w:rPr>
          <w:rFonts w:hint="eastAsia" w:ascii="宋体" w:hAnsi="宋体"/>
          <w:b/>
          <w:sz w:val="32"/>
          <w:szCs w:val="32"/>
        </w:rPr>
        <w:t>月</w:t>
      </w:r>
      <w:r>
        <w:rPr>
          <w:sz w:val="24"/>
          <w:u w:val="single"/>
        </w:rPr>
        <w:t xml:space="preserve"> </w:t>
      </w:r>
      <w:r>
        <w:rPr>
          <w:rFonts w:hint="eastAsia"/>
          <w:sz w:val="24"/>
          <w:u w:val="single"/>
        </w:rPr>
        <w:t xml:space="preserve"> 12</w:t>
      </w:r>
      <w:r>
        <w:rPr>
          <w:sz w:val="24"/>
          <w:u w:val="single"/>
        </w:rPr>
        <w:t xml:space="preserve"> </w:t>
      </w:r>
      <w:r>
        <w:rPr>
          <w:rFonts w:hint="eastAsia" w:ascii="宋体" w:hAnsi="宋体"/>
          <w:b/>
          <w:sz w:val="32"/>
          <w:szCs w:val="32"/>
        </w:rPr>
        <w:t>日</w:t>
      </w:r>
    </w:p>
    <w:p>
      <w:pPr>
        <w:snapToGrid w:val="0"/>
        <w:spacing w:line="360" w:lineRule="auto"/>
        <w:ind w:left="420" w:firstLine="944" w:firstLineChars="294"/>
        <w:rPr>
          <w:rFonts w:hint="eastAsia" w:ascii="宋体" w:hAnsi="宋体" w:cs="宋体"/>
          <w:b/>
          <w:bCs/>
          <w:kern w:val="0"/>
          <w:sz w:val="32"/>
          <w:szCs w:val="32"/>
        </w:rPr>
      </w:pPr>
    </w:p>
    <w:p>
      <w:pPr>
        <w:spacing w:line="360" w:lineRule="auto"/>
        <w:jc w:val="center"/>
        <w:rPr>
          <w:rFonts w:hint="eastAsia" w:ascii="宋体" w:hAnsi="宋体"/>
          <w:b/>
          <w:sz w:val="44"/>
          <w:szCs w:val="44"/>
        </w:rPr>
        <w:sectPr>
          <w:headerReference r:id="rId4" w:type="first"/>
          <w:footerReference r:id="rId6" w:type="first"/>
          <w:headerReference r:id="rId3" w:type="default"/>
          <w:footerReference r:id="rId5" w:type="default"/>
          <w:pgSz w:w="11906" w:h="16838"/>
          <w:pgMar w:top="1440" w:right="1440" w:bottom="1440" w:left="1587" w:header="851" w:footer="992" w:gutter="0"/>
          <w:cols w:space="720" w:num="1"/>
          <w:titlePg/>
          <w:docGrid w:type="lines" w:linePitch="312" w:charSpace="0"/>
        </w:sectPr>
      </w:pPr>
    </w:p>
    <w:p>
      <w:pPr>
        <w:spacing w:line="480" w:lineRule="auto"/>
        <w:jc w:val="center"/>
        <w:rPr>
          <w:rFonts w:hint="eastAsia" w:ascii="宋体" w:hAnsi="宋体" w:cs="宋体"/>
          <w:b/>
          <w:bCs/>
          <w:sz w:val="44"/>
          <w:szCs w:val="44"/>
        </w:rPr>
      </w:pPr>
      <w:r>
        <w:rPr>
          <w:rFonts w:hint="eastAsia" w:ascii="宋体" w:hAnsi="宋体" w:cs="宋体"/>
          <w:b/>
          <w:bCs/>
          <w:sz w:val="44"/>
          <w:szCs w:val="44"/>
        </w:rPr>
        <w:t>目录</w:t>
      </w:r>
    </w:p>
    <w:p>
      <w:pPr>
        <w:pStyle w:val="54"/>
        <w:rPr>
          <w:rFonts w:hint="eastAsia"/>
        </w:rPr>
      </w:pPr>
    </w:p>
    <w:p>
      <w:pPr>
        <w:pStyle w:val="24"/>
        <w:tabs>
          <w:tab w:val="right" w:leader="dot" w:pos="8879"/>
        </w:tabs>
        <w:spacing w:line="48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"1-3" \h \u </w:instrText>
      </w:r>
      <w:r>
        <w:rPr>
          <w:rFonts w:hint="eastAsia" w:ascii="宋体" w:hAnsi="宋体" w:cs="宋体"/>
          <w:b/>
          <w:bCs/>
          <w:sz w:val="24"/>
        </w:rPr>
        <w:fldChar w:fldCharType="separate"/>
      </w:r>
      <w:r>
        <w:fldChar w:fldCharType="begin"/>
      </w:r>
      <w:r>
        <w:instrText xml:space="preserve"> HYPERLINK \l "_Toc30807" </w:instrText>
      </w:r>
      <w:r>
        <w:fldChar w:fldCharType="separate"/>
      </w:r>
      <w:r>
        <w:rPr>
          <w:rFonts w:hint="eastAsia" w:ascii="宋体" w:hAnsi="宋体" w:cs="宋体"/>
          <w:b/>
          <w:bCs/>
          <w:sz w:val="24"/>
        </w:rPr>
        <w:t>第一章 采购公告</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_Toc30807 \h </w:instrText>
      </w:r>
      <w:r>
        <w:rPr>
          <w:rFonts w:hint="eastAsia" w:ascii="宋体" w:hAnsi="宋体" w:cs="宋体"/>
          <w:b/>
          <w:bCs/>
          <w:sz w:val="24"/>
        </w:rPr>
        <w:fldChar w:fldCharType="separate"/>
      </w:r>
      <w:r>
        <w:rPr>
          <w:rFonts w:hint="eastAsia" w:ascii="宋体" w:hAnsi="宋体" w:cs="宋体"/>
          <w:b/>
          <w:bCs/>
          <w:sz w:val="24"/>
        </w:rPr>
        <w:t>3</w:t>
      </w:r>
      <w:r>
        <w:rPr>
          <w:rFonts w:hint="eastAsia" w:ascii="宋体" w:hAnsi="宋体" w:cs="宋体"/>
          <w:b/>
          <w:bCs/>
          <w:sz w:val="24"/>
        </w:rPr>
        <w:fldChar w:fldCharType="end"/>
      </w:r>
      <w:r>
        <w:rPr>
          <w:rFonts w:hint="eastAsia" w:ascii="宋体" w:hAnsi="宋体" w:cs="宋体"/>
          <w:b/>
          <w:bCs/>
          <w:sz w:val="24"/>
        </w:rPr>
        <w:fldChar w:fldCharType="end"/>
      </w:r>
    </w:p>
    <w:p>
      <w:pPr>
        <w:pStyle w:val="24"/>
        <w:tabs>
          <w:tab w:val="right" w:leader="dot" w:pos="8879"/>
        </w:tabs>
        <w:spacing w:line="480" w:lineRule="auto"/>
        <w:rPr>
          <w:rFonts w:hint="eastAsia" w:ascii="宋体" w:hAnsi="宋体" w:eastAsia="宋体" w:cs="宋体"/>
          <w:b/>
          <w:bCs/>
          <w:sz w:val="24"/>
          <w:lang w:val="en-US" w:eastAsia="zh-CN"/>
        </w:rPr>
      </w:pPr>
      <w:r>
        <w:fldChar w:fldCharType="begin"/>
      </w:r>
      <w:r>
        <w:instrText xml:space="preserve"> HYPERLINK \l "_Toc29310" </w:instrText>
      </w:r>
      <w:r>
        <w:fldChar w:fldCharType="separate"/>
      </w:r>
      <w:r>
        <w:rPr>
          <w:rFonts w:hint="eastAsia" w:ascii="宋体" w:hAnsi="宋体" w:cs="宋体"/>
          <w:b/>
          <w:bCs/>
          <w:sz w:val="24"/>
        </w:rPr>
        <w:t>第二章 供应商须知</w:t>
      </w:r>
      <w:r>
        <w:rPr>
          <w:rFonts w:hint="eastAsia" w:ascii="宋体" w:hAnsi="宋体" w:cs="宋体"/>
          <w:b/>
          <w:bCs/>
          <w:sz w:val="24"/>
        </w:rPr>
        <w:tab/>
      </w:r>
      <w:r>
        <w:rPr>
          <w:rFonts w:hint="eastAsia" w:ascii="宋体" w:hAnsi="宋体" w:cs="宋体"/>
          <w:b/>
          <w:bCs/>
          <w:sz w:val="24"/>
          <w:lang w:val="en-US" w:eastAsia="zh-CN"/>
        </w:rPr>
        <w:t>1</w:t>
      </w:r>
      <w:r>
        <w:rPr>
          <w:rFonts w:hint="eastAsia" w:ascii="宋体" w:hAnsi="宋体" w:cs="宋体"/>
          <w:b/>
          <w:bCs/>
          <w:sz w:val="24"/>
        </w:rPr>
        <w:fldChar w:fldCharType="end"/>
      </w:r>
      <w:r>
        <w:rPr>
          <w:rFonts w:hint="eastAsia" w:ascii="宋体" w:hAnsi="宋体" w:cs="宋体"/>
          <w:b/>
          <w:bCs/>
          <w:sz w:val="24"/>
          <w:lang w:val="en-US" w:eastAsia="zh-CN"/>
        </w:rPr>
        <w:t>4</w:t>
      </w:r>
    </w:p>
    <w:p>
      <w:pPr>
        <w:pStyle w:val="24"/>
        <w:tabs>
          <w:tab w:val="right" w:leader="dot" w:pos="8879"/>
        </w:tabs>
        <w:spacing w:line="480" w:lineRule="auto"/>
        <w:rPr>
          <w:rFonts w:hint="eastAsia" w:ascii="宋体" w:hAnsi="宋体" w:eastAsia="宋体" w:cs="宋体"/>
          <w:b/>
          <w:bCs/>
          <w:sz w:val="24"/>
          <w:lang w:val="en-US" w:eastAsia="zh-CN"/>
        </w:rPr>
      </w:pPr>
      <w:r>
        <w:fldChar w:fldCharType="begin"/>
      </w:r>
      <w:r>
        <w:instrText xml:space="preserve"> HYPERLINK \l "_Toc18884" </w:instrText>
      </w:r>
      <w:r>
        <w:fldChar w:fldCharType="separate"/>
      </w:r>
      <w:r>
        <w:rPr>
          <w:rFonts w:hint="eastAsia" w:ascii="宋体" w:hAnsi="宋体" w:cs="宋体"/>
          <w:b/>
          <w:bCs/>
          <w:sz w:val="24"/>
        </w:rPr>
        <w:t>第三章 采购需求</w:t>
      </w:r>
      <w:r>
        <w:rPr>
          <w:rFonts w:hint="eastAsia" w:ascii="宋体" w:hAnsi="宋体" w:cs="宋体"/>
          <w:b/>
          <w:bCs/>
          <w:sz w:val="24"/>
        </w:rPr>
        <w:tab/>
      </w:r>
      <w:r>
        <w:rPr>
          <w:rFonts w:hint="eastAsia" w:ascii="宋体" w:hAnsi="宋体" w:cs="宋体"/>
          <w:b/>
          <w:bCs/>
          <w:sz w:val="24"/>
          <w:lang w:val="en-US" w:eastAsia="zh-CN"/>
        </w:rPr>
        <w:t>1</w:t>
      </w:r>
      <w:r>
        <w:rPr>
          <w:rFonts w:hint="eastAsia" w:ascii="宋体" w:hAnsi="宋体" w:cs="宋体"/>
          <w:b/>
          <w:bCs/>
          <w:sz w:val="24"/>
        </w:rPr>
        <w:fldChar w:fldCharType="end"/>
      </w:r>
      <w:r>
        <w:rPr>
          <w:rFonts w:hint="eastAsia" w:ascii="宋体" w:hAnsi="宋体" w:cs="宋体"/>
          <w:b/>
          <w:bCs/>
          <w:sz w:val="24"/>
          <w:lang w:val="en-US" w:eastAsia="zh-CN"/>
        </w:rPr>
        <w:t>6</w:t>
      </w:r>
    </w:p>
    <w:p>
      <w:pPr>
        <w:pStyle w:val="24"/>
        <w:tabs>
          <w:tab w:val="right" w:leader="dot" w:pos="8879"/>
        </w:tabs>
        <w:spacing w:line="480" w:lineRule="auto"/>
        <w:rPr>
          <w:rFonts w:hint="eastAsia" w:ascii="宋体" w:hAnsi="宋体" w:eastAsia="宋体" w:cs="宋体"/>
          <w:b/>
          <w:bCs/>
          <w:sz w:val="24"/>
          <w:lang w:val="en-US" w:eastAsia="zh-CN"/>
        </w:rPr>
      </w:pPr>
      <w:r>
        <w:fldChar w:fldCharType="begin"/>
      </w:r>
      <w:r>
        <w:instrText xml:space="preserve"> HYPERLINK \l "_Toc2542" </w:instrText>
      </w:r>
      <w:r>
        <w:fldChar w:fldCharType="separate"/>
      </w:r>
      <w:r>
        <w:rPr>
          <w:rFonts w:hint="eastAsia" w:ascii="宋体" w:hAnsi="宋体" w:cs="宋体"/>
          <w:b/>
          <w:bCs/>
          <w:sz w:val="24"/>
        </w:rPr>
        <w:t>第四章  评审程序、评审方法和评审标准</w:t>
      </w:r>
      <w:r>
        <w:rPr>
          <w:rFonts w:hint="eastAsia" w:ascii="宋体" w:hAnsi="宋体" w:cs="宋体"/>
          <w:b/>
          <w:bCs/>
          <w:sz w:val="24"/>
        </w:rPr>
        <w:tab/>
      </w:r>
      <w:r>
        <w:rPr>
          <w:rFonts w:hint="eastAsia" w:ascii="宋体" w:hAnsi="宋体" w:cs="宋体"/>
          <w:b/>
          <w:bCs/>
          <w:sz w:val="24"/>
          <w:lang w:val="en-US" w:eastAsia="zh-CN"/>
        </w:rPr>
        <w:t>2</w:t>
      </w:r>
      <w:r>
        <w:rPr>
          <w:rFonts w:hint="eastAsia" w:ascii="宋体" w:hAnsi="宋体" w:cs="宋体"/>
          <w:b/>
          <w:bCs/>
          <w:sz w:val="24"/>
        </w:rPr>
        <w:fldChar w:fldCharType="end"/>
      </w:r>
      <w:r>
        <w:rPr>
          <w:rFonts w:hint="eastAsia" w:ascii="宋体" w:hAnsi="宋体" w:cs="宋体"/>
          <w:b/>
          <w:bCs/>
          <w:sz w:val="24"/>
          <w:lang w:val="en-US" w:eastAsia="zh-CN"/>
        </w:rPr>
        <w:t>6</w:t>
      </w:r>
    </w:p>
    <w:p>
      <w:pPr>
        <w:pStyle w:val="24"/>
        <w:tabs>
          <w:tab w:val="right" w:leader="dot" w:pos="8879"/>
        </w:tabs>
        <w:spacing w:line="480" w:lineRule="auto"/>
        <w:rPr>
          <w:rFonts w:hint="eastAsia" w:ascii="宋体" w:hAnsi="宋体" w:eastAsia="宋体" w:cs="宋体"/>
          <w:b/>
          <w:bCs/>
          <w:sz w:val="24"/>
          <w:lang w:val="en-US" w:eastAsia="zh-CN"/>
        </w:rPr>
      </w:pPr>
      <w:r>
        <w:fldChar w:fldCharType="begin"/>
      </w:r>
      <w:r>
        <w:instrText xml:space="preserve"> HYPERLINK \l "_Toc29166" </w:instrText>
      </w:r>
      <w:r>
        <w:fldChar w:fldCharType="separate"/>
      </w:r>
      <w:r>
        <w:rPr>
          <w:rFonts w:hint="eastAsia" w:ascii="宋体" w:hAnsi="宋体" w:cs="宋体"/>
          <w:b/>
          <w:bCs/>
          <w:sz w:val="24"/>
        </w:rPr>
        <w:t>第五章 响应文件格式</w:t>
      </w:r>
      <w:r>
        <w:rPr>
          <w:rFonts w:hint="eastAsia" w:ascii="宋体" w:hAnsi="宋体" w:cs="宋体"/>
          <w:b/>
          <w:bCs/>
          <w:sz w:val="24"/>
        </w:rPr>
        <w:tab/>
      </w:r>
      <w:r>
        <w:rPr>
          <w:rFonts w:hint="eastAsia" w:ascii="宋体" w:hAnsi="宋体" w:cs="宋体"/>
          <w:b/>
          <w:bCs/>
          <w:sz w:val="24"/>
          <w:lang w:val="en-US" w:eastAsia="zh-CN"/>
        </w:rPr>
        <w:t>3</w:t>
      </w:r>
      <w:r>
        <w:rPr>
          <w:rFonts w:hint="eastAsia" w:ascii="宋体" w:hAnsi="宋体" w:cs="宋体"/>
          <w:b/>
          <w:bCs/>
          <w:sz w:val="24"/>
        </w:rPr>
        <w:fldChar w:fldCharType="end"/>
      </w:r>
      <w:r>
        <w:rPr>
          <w:rFonts w:hint="eastAsia" w:ascii="宋体" w:hAnsi="宋体" w:cs="宋体"/>
          <w:b/>
          <w:bCs/>
          <w:sz w:val="24"/>
          <w:lang w:val="en-US" w:eastAsia="zh-CN"/>
        </w:rPr>
        <w:t>3</w:t>
      </w:r>
    </w:p>
    <w:p>
      <w:pPr>
        <w:pStyle w:val="24"/>
        <w:tabs>
          <w:tab w:val="right" w:leader="dot" w:pos="8879"/>
        </w:tabs>
        <w:spacing w:line="480" w:lineRule="auto"/>
        <w:rPr>
          <w:rFonts w:hint="eastAsia" w:ascii="宋体" w:hAnsi="宋体" w:eastAsia="宋体" w:cs="宋体"/>
          <w:b/>
          <w:bCs/>
          <w:sz w:val="24"/>
          <w:lang w:val="en-US" w:eastAsia="zh-CN"/>
        </w:rPr>
      </w:pPr>
      <w:r>
        <w:fldChar w:fldCharType="begin"/>
      </w:r>
      <w:r>
        <w:instrText xml:space="preserve"> HYPERLINK \l "_Toc4391" </w:instrText>
      </w:r>
      <w:r>
        <w:fldChar w:fldCharType="separate"/>
      </w:r>
      <w:r>
        <w:rPr>
          <w:rFonts w:hint="eastAsia" w:ascii="宋体" w:hAnsi="宋体" w:cs="宋体"/>
          <w:b/>
          <w:bCs/>
          <w:sz w:val="24"/>
        </w:rPr>
        <w:t>第六章 合同文本</w:t>
      </w:r>
      <w:r>
        <w:rPr>
          <w:rFonts w:hint="eastAsia" w:ascii="宋体" w:hAnsi="宋体" w:cs="宋体"/>
          <w:b/>
          <w:bCs/>
          <w:sz w:val="24"/>
        </w:rPr>
        <w:tab/>
      </w:r>
      <w:r>
        <w:rPr>
          <w:rFonts w:hint="eastAsia" w:ascii="宋体" w:hAnsi="宋体" w:cs="宋体"/>
          <w:b/>
          <w:bCs/>
          <w:sz w:val="24"/>
          <w:lang w:val="en-US" w:eastAsia="zh-CN"/>
        </w:rPr>
        <w:t>5</w:t>
      </w:r>
      <w:r>
        <w:rPr>
          <w:rFonts w:hint="eastAsia" w:ascii="宋体" w:hAnsi="宋体" w:cs="宋体"/>
          <w:b/>
          <w:bCs/>
          <w:sz w:val="24"/>
        </w:rPr>
        <w:fldChar w:fldCharType="end"/>
      </w:r>
      <w:r>
        <w:rPr>
          <w:rFonts w:hint="eastAsia" w:ascii="宋体" w:hAnsi="宋体" w:cs="宋体"/>
          <w:b/>
          <w:bCs/>
          <w:sz w:val="24"/>
          <w:lang w:val="en-US" w:eastAsia="zh-CN"/>
        </w:rPr>
        <w:t>4</w:t>
      </w:r>
    </w:p>
    <w:p>
      <w:pPr>
        <w:pStyle w:val="54"/>
        <w:spacing w:line="480" w:lineRule="auto"/>
        <w:rPr>
          <w:rFonts w:hint="eastAsia" w:hAnsi="宋体" w:cs="宋体"/>
          <w:b/>
          <w:bCs/>
          <w:sz w:val="24"/>
          <w:szCs w:val="24"/>
        </w:rPr>
      </w:pPr>
      <w:r>
        <w:rPr>
          <w:rFonts w:hint="eastAsia" w:hAnsi="宋体" w:cs="宋体"/>
          <w:b/>
          <w:bCs/>
          <w:sz w:val="24"/>
          <w:szCs w:val="24"/>
        </w:rPr>
        <w:fldChar w:fldCharType="end"/>
      </w:r>
    </w:p>
    <w:p>
      <w:pPr>
        <w:rPr>
          <w:rFonts w:hint="eastAsia" w:ascii="宋体" w:hAnsi="宋体" w:cs="宋体"/>
          <w:b/>
          <w:bCs/>
          <w:sz w:val="24"/>
        </w:rPr>
      </w:pPr>
    </w:p>
    <w:p>
      <w:pPr>
        <w:pStyle w:val="54"/>
        <w:rPr>
          <w:rFonts w:hint="eastAsia" w:hAnsi="宋体" w:cs="宋体"/>
          <w:b/>
          <w:bCs/>
          <w:sz w:val="24"/>
          <w:szCs w:val="24"/>
        </w:rPr>
      </w:pPr>
    </w:p>
    <w:p>
      <w:pPr>
        <w:rPr>
          <w:rFonts w:hint="eastAsia" w:ascii="宋体" w:hAnsi="宋体" w:cs="宋体"/>
          <w:b/>
          <w:bCs/>
          <w:sz w:val="24"/>
        </w:rPr>
      </w:pPr>
    </w:p>
    <w:p>
      <w:pPr>
        <w:pStyle w:val="54"/>
        <w:rPr>
          <w:rFonts w:hint="eastAsia" w:hAnsi="宋体" w:cs="宋体"/>
          <w:b/>
          <w:bCs/>
          <w:sz w:val="24"/>
          <w:szCs w:val="24"/>
        </w:rPr>
      </w:pPr>
    </w:p>
    <w:p>
      <w:pPr>
        <w:rPr>
          <w:rFonts w:hint="eastAsia" w:ascii="宋体" w:hAnsi="宋体" w:cs="宋体"/>
          <w:b/>
          <w:bCs/>
          <w:sz w:val="24"/>
        </w:rPr>
      </w:pPr>
    </w:p>
    <w:p>
      <w:pPr>
        <w:pStyle w:val="54"/>
        <w:rPr>
          <w:rFonts w:hint="eastAsia" w:hAnsi="宋体" w:cs="宋体"/>
          <w:b/>
          <w:bCs/>
          <w:sz w:val="24"/>
          <w:szCs w:val="24"/>
        </w:rPr>
      </w:pPr>
    </w:p>
    <w:p>
      <w:pPr>
        <w:rPr>
          <w:rFonts w:hint="eastAsia" w:ascii="宋体" w:hAnsi="宋体" w:cs="宋体"/>
          <w:b/>
          <w:bCs/>
          <w:sz w:val="24"/>
        </w:rPr>
      </w:pPr>
    </w:p>
    <w:p>
      <w:pPr>
        <w:pStyle w:val="54"/>
        <w:rPr>
          <w:rFonts w:hint="eastAsia" w:hAnsi="宋体" w:cs="宋体"/>
          <w:b/>
          <w:bCs/>
          <w:sz w:val="24"/>
          <w:szCs w:val="24"/>
        </w:rPr>
      </w:pPr>
    </w:p>
    <w:p>
      <w:pPr>
        <w:rPr>
          <w:rFonts w:hint="eastAsia" w:ascii="宋体" w:hAnsi="宋体" w:cs="宋体"/>
          <w:b/>
          <w:bCs/>
          <w:sz w:val="24"/>
        </w:rPr>
      </w:pPr>
    </w:p>
    <w:p>
      <w:pPr>
        <w:pStyle w:val="54"/>
        <w:rPr>
          <w:rFonts w:hint="eastAsia" w:hAnsi="宋体" w:cs="宋体"/>
          <w:b/>
          <w:bCs/>
          <w:sz w:val="24"/>
          <w:szCs w:val="24"/>
        </w:rPr>
      </w:pPr>
    </w:p>
    <w:p>
      <w:pPr>
        <w:rPr>
          <w:rFonts w:hint="eastAsia" w:ascii="宋体" w:hAnsi="宋体" w:cs="宋体"/>
          <w:b/>
          <w:bCs/>
          <w:sz w:val="24"/>
        </w:rPr>
      </w:pPr>
    </w:p>
    <w:p>
      <w:pPr>
        <w:pStyle w:val="54"/>
        <w:rPr>
          <w:rFonts w:hint="eastAsia" w:hAnsi="宋体" w:cs="宋体"/>
          <w:b/>
          <w:bCs/>
          <w:sz w:val="24"/>
          <w:szCs w:val="24"/>
        </w:rPr>
      </w:pPr>
    </w:p>
    <w:p>
      <w:pPr>
        <w:rPr>
          <w:rFonts w:hint="eastAsia" w:ascii="宋体" w:hAnsi="宋体" w:cs="宋体"/>
          <w:b/>
          <w:bCs/>
          <w:sz w:val="24"/>
        </w:rPr>
      </w:pPr>
    </w:p>
    <w:p>
      <w:pPr>
        <w:pStyle w:val="54"/>
        <w:rPr>
          <w:rFonts w:hint="eastAsia" w:hAnsi="宋体" w:cs="宋体"/>
          <w:b/>
          <w:bCs/>
          <w:sz w:val="24"/>
          <w:szCs w:val="24"/>
        </w:rPr>
      </w:pPr>
    </w:p>
    <w:p>
      <w:pPr>
        <w:rPr>
          <w:rFonts w:hint="eastAsia" w:ascii="宋体" w:hAnsi="宋体" w:cs="宋体"/>
          <w:b/>
          <w:bCs/>
          <w:sz w:val="24"/>
        </w:rPr>
      </w:pPr>
    </w:p>
    <w:p>
      <w:pPr>
        <w:pStyle w:val="54"/>
        <w:rPr>
          <w:rFonts w:hint="eastAsia" w:hAnsi="宋体" w:cs="宋体"/>
          <w:b/>
          <w:bCs/>
          <w:sz w:val="24"/>
          <w:szCs w:val="24"/>
        </w:rPr>
      </w:pPr>
    </w:p>
    <w:p>
      <w:pPr>
        <w:rPr>
          <w:rFonts w:hint="eastAsia" w:ascii="宋体" w:hAnsi="宋体" w:cs="宋体"/>
          <w:b/>
          <w:bCs/>
          <w:sz w:val="24"/>
        </w:rPr>
      </w:pPr>
    </w:p>
    <w:p>
      <w:pPr>
        <w:pStyle w:val="54"/>
        <w:rPr>
          <w:rFonts w:hint="eastAsia" w:hAnsi="宋体" w:cs="宋体"/>
          <w:b/>
          <w:bCs/>
          <w:sz w:val="24"/>
          <w:szCs w:val="24"/>
        </w:rPr>
      </w:pPr>
    </w:p>
    <w:p>
      <w:pPr>
        <w:rPr>
          <w:rFonts w:hint="eastAsia" w:ascii="宋体" w:hAnsi="宋体" w:cs="宋体"/>
          <w:b/>
          <w:bCs/>
          <w:sz w:val="24"/>
        </w:rPr>
      </w:pPr>
    </w:p>
    <w:p>
      <w:pPr>
        <w:pStyle w:val="54"/>
        <w:rPr>
          <w:rFonts w:hint="eastAsia" w:hAnsi="宋体" w:cs="宋体"/>
          <w:b/>
          <w:bCs/>
          <w:sz w:val="24"/>
          <w:szCs w:val="24"/>
        </w:rPr>
      </w:pPr>
    </w:p>
    <w:p>
      <w:pPr>
        <w:rPr>
          <w:rFonts w:hint="eastAsia" w:ascii="宋体" w:hAnsi="宋体" w:cs="宋体"/>
          <w:b/>
          <w:bCs/>
          <w:sz w:val="24"/>
        </w:rPr>
      </w:pPr>
    </w:p>
    <w:p>
      <w:pPr>
        <w:pStyle w:val="54"/>
        <w:rPr>
          <w:rFonts w:hint="eastAsia" w:hAnsi="宋体" w:cs="宋体"/>
          <w:b/>
          <w:bCs/>
          <w:sz w:val="24"/>
          <w:szCs w:val="24"/>
        </w:rPr>
      </w:pPr>
    </w:p>
    <w:p>
      <w:pPr>
        <w:rPr>
          <w:rFonts w:hint="eastAsia" w:ascii="宋体" w:hAnsi="宋体" w:cs="宋体"/>
          <w:b/>
          <w:bCs/>
          <w:sz w:val="24"/>
        </w:rPr>
      </w:pPr>
    </w:p>
    <w:p>
      <w:pPr>
        <w:pStyle w:val="54"/>
        <w:rPr>
          <w:rFonts w:hint="eastAsia" w:hAnsi="宋体" w:cs="宋体"/>
          <w:b/>
          <w:bCs/>
          <w:sz w:val="24"/>
          <w:szCs w:val="24"/>
        </w:rPr>
      </w:pPr>
    </w:p>
    <w:p>
      <w:pPr>
        <w:rPr>
          <w:rFonts w:hint="eastAsia" w:ascii="宋体" w:hAnsi="宋体" w:cs="宋体"/>
          <w:b/>
          <w:bCs/>
          <w:sz w:val="24"/>
        </w:rPr>
      </w:pPr>
    </w:p>
    <w:p>
      <w:pPr>
        <w:ind w:firstLine="3534" w:firstLineChars="800"/>
        <w:rPr>
          <w:rFonts w:hint="eastAsia"/>
          <w:b/>
          <w:bCs/>
          <w:sz w:val="44"/>
          <w:szCs w:val="44"/>
        </w:rPr>
      </w:pPr>
      <w:bookmarkStart w:id="1" w:name="_Toc9705"/>
      <w:bookmarkStart w:id="2" w:name="_Toc5681"/>
      <w:bookmarkStart w:id="3" w:name="_Toc18062"/>
      <w:bookmarkStart w:id="4" w:name="_Toc74323456"/>
      <w:bookmarkStart w:id="5" w:name="_Toc30807"/>
      <w:bookmarkStart w:id="6" w:name="_Toc2756"/>
      <w:r>
        <w:rPr>
          <w:rFonts w:hint="eastAsia"/>
          <w:b/>
          <w:bCs/>
          <w:sz w:val="44"/>
          <w:szCs w:val="44"/>
        </w:rPr>
        <w:t>第一章  采购公告</w:t>
      </w:r>
      <w:bookmarkEnd w:id="1"/>
      <w:bookmarkEnd w:id="2"/>
      <w:bookmarkEnd w:id="3"/>
      <w:bookmarkEnd w:id="4"/>
      <w:bookmarkEnd w:id="5"/>
      <w:bookmarkEnd w:id="6"/>
      <w:bookmarkStart w:id="7" w:name="_Toc35393798"/>
      <w:bookmarkStart w:id="8" w:name="_Toc71365905"/>
      <w:bookmarkStart w:id="9" w:name="_Toc35393629"/>
      <w:bookmarkStart w:id="10" w:name="_Toc44229878"/>
      <w:bookmarkStart w:id="11" w:name="_Toc28359012"/>
      <w:bookmarkStart w:id="12" w:name="_Toc28359089"/>
    </w:p>
    <w:p>
      <w:pPr>
        <w:rPr>
          <w:rFonts w:hint="eastAsia"/>
          <w:b/>
          <w:bCs/>
          <w:sz w:val="24"/>
        </w:rPr>
      </w:pPr>
    </w:p>
    <w:p>
      <w:pPr>
        <w:spacing w:line="360" w:lineRule="auto"/>
        <w:rPr>
          <w:rFonts w:hint="eastAsia"/>
        </w:rPr>
      </w:pPr>
      <w:r>
        <w:rPr>
          <w:rFonts w:hint="eastAsia"/>
          <w:b/>
          <w:bCs/>
          <w:sz w:val="24"/>
        </w:rPr>
        <w:t>一、项目基本情况</w:t>
      </w:r>
      <w:bookmarkEnd w:id="7"/>
      <w:bookmarkEnd w:id="8"/>
      <w:bookmarkEnd w:id="9"/>
      <w:bookmarkEnd w:id="10"/>
      <w:bookmarkEnd w:id="11"/>
      <w:bookmarkEnd w:id="12"/>
    </w:p>
    <w:p>
      <w:pPr>
        <w:spacing w:line="360" w:lineRule="auto"/>
        <w:ind w:firstLine="210" w:firstLineChars="100"/>
        <w:rPr>
          <w:rFonts w:hint="eastAsia" w:ascii="宋体" w:hAnsi="宋体"/>
          <w:szCs w:val="21"/>
        </w:rPr>
      </w:pPr>
      <w:r>
        <w:rPr>
          <w:rFonts w:hint="eastAsia" w:ascii="宋体" w:hAnsi="宋体"/>
          <w:szCs w:val="21"/>
        </w:rPr>
        <w:t>1、项目名称：</w:t>
      </w:r>
      <w:bookmarkStart w:id="13" w:name="OLE_LINK11"/>
      <w:r>
        <w:rPr>
          <w:rFonts w:hint="eastAsia" w:ascii="宋体" w:hAnsi="宋体"/>
          <w:szCs w:val="21"/>
        </w:rPr>
        <w:t>广西交通技师学院交通工程试验检测中心公路工程试验室仪器设备标定服务采购项目</w:t>
      </w:r>
      <w:bookmarkEnd w:id="13"/>
    </w:p>
    <w:p>
      <w:pPr>
        <w:spacing w:line="360" w:lineRule="auto"/>
        <w:ind w:firstLine="210" w:firstLineChars="100"/>
        <w:rPr>
          <w:rFonts w:ascii="宋体" w:hAnsi="宋体"/>
          <w:szCs w:val="21"/>
        </w:rPr>
      </w:pPr>
      <w:r>
        <w:rPr>
          <w:rFonts w:hint="eastAsia" w:ascii="宋体" w:hAnsi="宋体"/>
          <w:szCs w:val="21"/>
        </w:rPr>
        <w:t>2、服务范围：</w:t>
      </w:r>
      <w:r>
        <w:rPr>
          <w:rFonts w:hint="eastAsia" w:ascii="宋体" w:hAnsi="宋体" w:cs="宋体"/>
          <w:szCs w:val="21"/>
        </w:rPr>
        <w:t>公路试验室仪器设备现场标定/检定/校准</w:t>
      </w:r>
    </w:p>
    <w:p>
      <w:pPr>
        <w:spacing w:line="360" w:lineRule="auto"/>
        <w:ind w:firstLine="210" w:firstLineChars="100"/>
        <w:rPr>
          <w:rFonts w:ascii="宋体" w:hAnsi="宋体"/>
          <w:szCs w:val="21"/>
        </w:rPr>
      </w:pPr>
      <w:r>
        <w:rPr>
          <w:rFonts w:hint="eastAsia" w:ascii="宋体" w:hAnsi="宋体"/>
          <w:szCs w:val="21"/>
        </w:rPr>
        <w:t>3、设</w:t>
      </w:r>
      <w:r>
        <w:rPr>
          <w:rFonts w:hint="eastAsia" w:ascii="宋体" w:hAnsi="宋体" w:cs="宋体"/>
          <w:szCs w:val="21"/>
        </w:rPr>
        <w:t>备数量：约200台/套（详见采购需求（四）《公路试验室仪器设备标定一览表》</w:t>
      </w:r>
    </w:p>
    <w:p>
      <w:pPr>
        <w:spacing w:line="360" w:lineRule="auto"/>
        <w:ind w:firstLine="210" w:firstLineChars="100"/>
        <w:rPr>
          <w:rFonts w:hint="eastAsia" w:ascii="宋体" w:hAnsi="宋体"/>
          <w:szCs w:val="21"/>
        </w:rPr>
      </w:pPr>
      <w:r>
        <w:rPr>
          <w:rFonts w:hint="eastAsia" w:ascii="宋体" w:hAnsi="宋体"/>
          <w:szCs w:val="21"/>
        </w:rPr>
        <w:t>4、预算金额：45000.00元</w:t>
      </w:r>
    </w:p>
    <w:p>
      <w:pPr>
        <w:spacing w:line="360" w:lineRule="auto"/>
        <w:ind w:firstLine="210" w:firstLineChars="100"/>
        <w:rPr>
          <w:rFonts w:hint="eastAsia" w:ascii="宋体" w:hAnsi="宋体"/>
          <w:szCs w:val="21"/>
        </w:rPr>
      </w:pPr>
      <w:r>
        <w:rPr>
          <w:rFonts w:hint="eastAsia" w:ascii="宋体" w:hAnsi="宋体"/>
          <w:szCs w:val="21"/>
        </w:rPr>
        <w:t>5、评审方法：综合评分法</w:t>
      </w:r>
    </w:p>
    <w:p>
      <w:pPr>
        <w:pStyle w:val="2"/>
        <w:spacing w:line="360" w:lineRule="auto"/>
        <w:jc w:val="both"/>
        <w:rPr>
          <w:rFonts w:hint="eastAsia" w:ascii="宋体" w:hAnsi="宋体" w:cs="宋体"/>
          <w:sz w:val="24"/>
        </w:rPr>
      </w:pPr>
      <w:r>
        <w:rPr>
          <w:rFonts w:hint="eastAsia" w:ascii="宋体" w:hAnsi="宋体" w:cs="宋体"/>
          <w:sz w:val="21"/>
          <w:szCs w:val="21"/>
        </w:rPr>
        <w:t xml:space="preserve"> </w:t>
      </w:r>
      <w:r>
        <w:rPr>
          <w:rFonts w:hint="eastAsia" w:ascii="宋体" w:hAnsi="宋体" w:cs="宋体"/>
          <w:b/>
          <w:bCs/>
          <w:sz w:val="24"/>
        </w:rPr>
        <w:t>二、采购需求</w:t>
      </w:r>
    </w:p>
    <w:p>
      <w:pPr>
        <w:spacing w:line="360" w:lineRule="auto"/>
        <w:rPr>
          <w:rFonts w:hint="eastAsia" w:ascii="宋体" w:hAnsi="宋体" w:cs="宋体"/>
          <w:b/>
          <w:bCs/>
          <w:szCs w:val="21"/>
        </w:rPr>
      </w:pPr>
      <w:bookmarkStart w:id="14" w:name="heading_0"/>
      <w:r>
        <w:rPr>
          <w:rFonts w:hint="eastAsia" w:ascii="宋体" w:hAnsi="宋体" w:cs="宋体"/>
          <w:b/>
          <w:bCs/>
          <w:szCs w:val="21"/>
        </w:rPr>
        <w:t>（一）、服务概述</w:t>
      </w:r>
      <w:bookmarkEnd w:id="14"/>
    </w:p>
    <w:p>
      <w:pPr>
        <w:spacing w:line="360" w:lineRule="auto"/>
        <w:ind w:firstLine="420" w:firstLineChars="200"/>
        <w:rPr>
          <w:rFonts w:hint="eastAsia" w:ascii="宋体" w:hAnsi="宋体" w:cs="宋体"/>
          <w:szCs w:val="21"/>
        </w:rPr>
      </w:pPr>
      <w:r>
        <w:rPr>
          <w:rFonts w:hint="eastAsia" w:ascii="宋体" w:hAnsi="宋体" w:cs="宋体"/>
          <w:szCs w:val="21"/>
        </w:rPr>
        <w:t>为确保甲方公路工程试验检测数据准确、合法、有效，满足《公路水运工程试验检测管理办法》、《检验检测机构资质认定管理办法》及质监站核查要求，对试验室所有在用试验仪器、计量器具、检测设备进行统一检定、校准、标定、期间核查，确保全部设备量值溯源完整、状态合规、证书有效可查。</w:t>
      </w:r>
    </w:p>
    <w:p>
      <w:pPr>
        <w:spacing w:line="360" w:lineRule="auto"/>
        <w:rPr>
          <w:rFonts w:hint="eastAsia" w:ascii="宋体" w:hAnsi="宋体" w:cs="宋体"/>
          <w:b/>
          <w:bCs/>
          <w:szCs w:val="21"/>
        </w:rPr>
      </w:pPr>
      <w:bookmarkStart w:id="15" w:name="heading_1"/>
      <w:r>
        <w:rPr>
          <w:rFonts w:hint="eastAsia" w:ascii="宋体" w:hAnsi="宋体" w:cs="宋体"/>
          <w:b/>
          <w:bCs/>
          <w:szCs w:val="21"/>
        </w:rPr>
        <w:t>（二）、标定执行标准（专用依据）</w:t>
      </w:r>
      <w:bookmarkEnd w:id="15"/>
    </w:p>
    <w:p>
      <w:pPr>
        <w:spacing w:line="360" w:lineRule="auto"/>
        <w:ind w:firstLine="420" w:firstLineChars="200"/>
        <w:rPr>
          <w:rFonts w:hint="eastAsia" w:ascii="宋体" w:hAnsi="宋体" w:cs="宋体"/>
          <w:szCs w:val="21"/>
        </w:rPr>
      </w:pPr>
      <w:r>
        <w:rPr>
          <w:rFonts w:hint="eastAsia" w:ascii="宋体" w:hAnsi="宋体" w:cs="宋体"/>
          <w:szCs w:val="21"/>
        </w:rPr>
        <w:t>本次所有仪器标定、校准、检定工作，须严格执行现行有效国家检定规程（JJG）、国家校准规范（JJF）、公路水运行业标准（JTG），优先遵循公路工程试验检测专用规范，具体执行标准体系如下：</w:t>
      </w:r>
    </w:p>
    <w:p>
      <w:pPr>
        <w:spacing w:line="360" w:lineRule="auto"/>
        <w:ind w:firstLine="210" w:firstLineChars="100"/>
        <w:rPr>
          <w:rFonts w:hint="eastAsia" w:ascii="宋体" w:hAnsi="宋体" w:cs="宋体"/>
          <w:szCs w:val="21"/>
        </w:rPr>
      </w:pPr>
      <w:r>
        <w:rPr>
          <w:rFonts w:hint="eastAsia" w:ascii="宋体" w:hAnsi="宋体" w:cs="宋体"/>
          <w:szCs w:val="21"/>
        </w:rPr>
        <w:t>1. 通用计量标准：国家计量检定规程（JJG）、国家计量校准规范（JJF）、地方标准最新有效版本；</w:t>
      </w:r>
    </w:p>
    <w:p>
      <w:pPr>
        <w:spacing w:line="360" w:lineRule="auto"/>
        <w:ind w:firstLine="210" w:firstLineChars="100"/>
        <w:rPr>
          <w:rFonts w:hint="eastAsia" w:ascii="宋体" w:hAnsi="宋体" w:cs="宋体"/>
          <w:szCs w:val="21"/>
        </w:rPr>
      </w:pPr>
      <w:r>
        <w:rPr>
          <w:rFonts w:hint="eastAsia" w:ascii="宋体" w:hAnsi="宋体" w:cs="宋体"/>
          <w:szCs w:val="21"/>
        </w:rPr>
        <w:t>2. 所有设备标定点、精度指标、允许误差、判定结论必须严格匹配公路试验检测使用要求，不得仅按通用工业标准简化标定。</w:t>
      </w:r>
    </w:p>
    <w:p>
      <w:pPr>
        <w:spacing w:line="360" w:lineRule="auto"/>
        <w:rPr>
          <w:rFonts w:hint="eastAsia" w:ascii="宋体" w:hAnsi="宋体" w:cs="宋体"/>
          <w:b/>
          <w:bCs/>
          <w:szCs w:val="21"/>
        </w:rPr>
      </w:pPr>
      <w:bookmarkStart w:id="16" w:name="heading_5"/>
      <w:r>
        <w:rPr>
          <w:rFonts w:hint="eastAsia" w:ascii="宋体" w:hAnsi="宋体" w:cs="宋体"/>
          <w:b/>
          <w:bCs/>
          <w:szCs w:val="21"/>
        </w:rPr>
        <w:t>（三）、服务范围与服务内容</w:t>
      </w:r>
      <w:bookmarkEnd w:id="16"/>
    </w:p>
    <w:p>
      <w:pPr>
        <w:spacing w:line="360" w:lineRule="auto"/>
        <w:ind w:firstLine="420" w:firstLineChars="200"/>
        <w:rPr>
          <w:rFonts w:hint="eastAsia" w:ascii="宋体" w:hAnsi="宋体" w:cs="宋体"/>
          <w:szCs w:val="21"/>
        </w:rPr>
      </w:pPr>
      <w:r>
        <w:rPr>
          <w:rFonts w:hint="eastAsia" w:ascii="宋体" w:hAnsi="宋体" w:cs="宋体"/>
          <w:szCs w:val="21"/>
        </w:rPr>
        <w:t>乙方负责甲方试验室全部在用试验仪器设备的上门标定/检定/校准、数据记录、误差修正、异常判定、资料出具、售后复核全套服务，具体内容如下：</w:t>
      </w:r>
    </w:p>
    <w:p>
      <w:pPr>
        <w:spacing w:line="360" w:lineRule="auto"/>
        <w:ind w:firstLine="210" w:firstLineChars="100"/>
        <w:rPr>
          <w:rFonts w:hint="eastAsia" w:ascii="宋体" w:hAnsi="宋体" w:cs="宋体"/>
          <w:szCs w:val="21"/>
        </w:rPr>
      </w:pPr>
      <w:r>
        <w:rPr>
          <w:rFonts w:hint="eastAsia" w:ascii="宋体" w:hAnsi="宋体" w:cs="宋体"/>
          <w:szCs w:val="21"/>
        </w:rPr>
        <w:t>1、 现场勘查：进场核对试验室设备台账、资产编号、在用状态，梳理需标定设备清单，剔除报废停用设备；</w:t>
      </w:r>
    </w:p>
    <w:p>
      <w:pPr>
        <w:spacing w:line="360" w:lineRule="auto"/>
        <w:ind w:firstLine="210" w:firstLineChars="100"/>
        <w:rPr>
          <w:rFonts w:hint="eastAsia" w:ascii="宋体" w:hAnsi="宋体" w:cs="宋体"/>
          <w:szCs w:val="21"/>
        </w:rPr>
      </w:pPr>
      <w:r>
        <w:rPr>
          <w:rFonts w:hint="eastAsia" w:ascii="宋体" w:hAnsi="宋体" w:cs="宋体"/>
          <w:szCs w:val="21"/>
        </w:rPr>
        <w:t>2、现场标定：针对土工、集料、水泥、混凝土、沥青、力学、测温、测距、称重等全部试验设备，按规范全点位、全量程标定，不得漏点、少点、简化流程；</w:t>
      </w:r>
    </w:p>
    <w:p>
      <w:pPr>
        <w:spacing w:line="360" w:lineRule="auto"/>
        <w:ind w:firstLine="210" w:firstLineChars="100"/>
        <w:rPr>
          <w:rFonts w:hint="eastAsia" w:ascii="宋体" w:hAnsi="宋体" w:cs="宋体"/>
          <w:szCs w:val="21"/>
        </w:rPr>
      </w:pPr>
      <w:r>
        <w:rPr>
          <w:rFonts w:hint="eastAsia" w:ascii="宋体" w:hAnsi="宋体" w:cs="宋体"/>
          <w:szCs w:val="21"/>
        </w:rPr>
        <w:t>3、 偏差核查：对标定超差、精度超标、状态异常设备，现场记录问题，提供偏差分析、调整建议、整改说明；</w:t>
      </w:r>
    </w:p>
    <w:p>
      <w:pPr>
        <w:spacing w:line="360" w:lineRule="auto"/>
        <w:ind w:firstLine="210" w:firstLineChars="100"/>
        <w:rPr>
          <w:rFonts w:hint="eastAsia" w:ascii="宋体" w:hAnsi="宋体" w:cs="宋体"/>
          <w:szCs w:val="21"/>
        </w:rPr>
      </w:pPr>
      <w:r>
        <w:rPr>
          <w:rFonts w:hint="eastAsia" w:ascii="宋体" w:hAnsi="宋体" w:cs="宋体"/>
          <w:szCs w:val="21"/>
        </w:rPr>
        <w:t>4、 计量标识：标定合格设备统一配备有效计量合格标识，标注标定日期、有效期、设备编号，做到标识清晰、台账对应；</w:t>
      </w:r>
    </w:p>
    <w:p>
      <w:pPr>
        <w:spacing w:line="360" w:lineRule="auto"/>
        <w:ind w:firstLine="210" w:firstLineChars="100"/>
        <w:rPr>
          <w:rFonts w:hint="eastAsia" w:ascii="宋体" w:hAnsi="宋体" w:cs="宋体"/>
          <w:szCs w:val="21"/>
        </w:rPr>
      </w:pPr>
      <w:r>
        <w:rPr>
          <w:rFonts w:hint="eastAsia" w:ascii="宋体" w:hAnsi="宋体" w:cs="宋体"/>
          <w:szCs w:val="21"/>
        </w:rPr>
        <w:t>5、 资料出具：出具合法有效的检定/校准证书、汇总台账、符合性说明，满足工地试验室备案、季度检查、交工验收、资质核查使用；</w:t>
      </w:r>
    </w:p>
    <w:p>
      <w:pPr>
        <w:spacing w:line="360" w:lineRule="auto"/>
        <w:ind w:firstLine="210" w:firstLineChars="100"/>
        <w:rPr>
          <w:rFonts w:hint="eastAsia" w:ascii="宋体" w:hAnsi="宋体" w:cs="宋体"/>
          <w:szCs w:val="21"/>
        </w:rPr>
      </w:pPr>
      <w:r>
        <w:rPr>
          <w:rFonts w:hint="eastAsia" w:ascii="宋体" w:hAnsi="宋体" w:cs="宋体"/>
          <w:szCs w:val="21"/>
        </w:rPr>
        <w:t>6、 技术配合：配合甲方、质监站对标定资料的核查、答疑、复核工作。</w:t>
      </w:r>
    </w:p>
    <w:p>
      <w:pPr>
        <w:spacing w:line="360" w:lineRule="auto"/>
        <w:rPr>
          <w:rFonts w:hint="eastAsia" w:ascii="宋体" w:hAnsi="宋体" w:cs="宋体"/>
          <w:szCs w:val="21"/>
        </w:rPr>
      </w:pPr>
      <w:bookmarkStart w:id="17" w:name="heading_6"/>
      <w:r>
        <w:rPr>
          <w:rFonts w:hint="eastAsia" w:ascii="宋体" w:hAnsi="宋体" w:cs="宋体"/>
          <w:b/>
          <w:bCs/>
          <w:szCs w:val="21"/>
        </w:rPr>
        <w:t>（四）、公路试验室仪器设备标定一览表</w:t>
      </w:r>
      <w:bookmarkEnd w:id="17"/>
    </w:p>
    <w:tbl>
      <w:tblPr>
        <w:tblStyle w:val="30"/>
        <w:tblW w:w="9572" w:type="dxa"/>
        <w:jc w:val="center"/>
        <w:tblLayout w:type="autofit"/>
        <w:tblCellMar>
          <w:top w:w="0" w:type="dxa"/>
          <w:left w:w="108" w:type="dxa"/>
          <w:bottom w:w="0" w:type="dxa"/>
          <w:right w:w="108" w:type="dxa"/>
        </w:tblCellMar>
      </w:tblPr>
      <w:tblGrid>
        <w:gridCol w:w="785"/>
        <w:gridCol w:w="1319"/>
        <w:gridCol w:w="1560"/>
        <w:gridCol w:w="1514"/>
        <w:gridCol w:w="994"/>
        <w:gridCol w:w="3400"/>
      </w:tblGrid>
      <w:tr>
        <w:tblPrEx>
          <w:tblCellMar>
            <w:top w:w="0" w:type="dxa"/>
            <w:left w:w="108" w:type="dxa"/>
            <w:bottom w:w="0" w:type="dxa"/>
            <w:right w:w="108" w:type="dxa"/>
          </w:tblCellMar>
        </w:tblPrEx>
        <w:trPr>
          <w:trHeight w:val="499" w:hRule="atLeast"/>
          <w:tblHeader/>
          <w:jc w:val="center"/>
        </w:trPr>
        <w:tc>
          <w:tcPr>
            <w:tcW w:w="78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b/>
                <w:bCs/>
                <w:color w:val="000000"/>
                <w:kern w:val="0"/>
                <w:sz w:val="18"/>
                <w:szCs w:val="18"/>
              </w:rPr>
            </w:pPr>
            <w:bookmarkStart w:id="18" w:name="heading_7"/>
            <w:r>
              <w:rPr>
                <w:rFonts w:hint="eastAsia"/>
                <w:b/>
                <w:bCs/>
                <w:color w:val="000000"/>
                <w:kern w:val="0"/>
                <w:sz w:val="18"/>
                <w:szCs w:val="18"/>
              </w:rPr>
              <w:t>序号</w:t>
            </w:r>
          </w:p>
        </w:tc>
        <w:tc>
          <w:tcPr>
            <w:tcW w:w="1319" w:type="dxa"/>
            <w:tcBorders>
              <w:top w:val="single" w:color="auto" w:sz="4" w:space="0"/>
              <w:left w:val="single" w:color="auto" w:sz="4" w:space="0"/>
              <w:bottom w:val="single" w:color="auto" w:sz="4" w:space="0"/>
              <w:right w:val="single" w:color="auto" w:sz="4" w:space="0"/>
            </w:tcBorders>
            <w:noWrap/>
            <w:vAlign w:val="center"/>
          </w:tcPr>
          <w:p>
            <w:pPr>
              <w:widowControl/>
              <w:jc w:val="center"/>
              <w:rPr>
                <w:b/>
                <w:bCs/>
                <w:color w:val="000000"/>
                <w:kern w:val="0"/>
                <w:sz w:val="18"/>
                <w:szCs w:val="18"/>
              </w:rPr>
            </w:pPr>
            <w:r>
              <w:rPr>
                <w:b/>
                <w:bCs/>
                <w:color w:val="000000"/>
                <w:kern w:val="0"/>
                <w:sz w:val="18"/>
                <w:szCs w:val="18"/>
              </w:rPr>
              <w:t>仪器设备编号</w:t>
            </w:r>
          </w:p>
        </w:tc>
        <w:tc>
          <w:tcPr>
            <w:tcW w:w="1560" w:type="dxa"/>
            <w:tcBorders>
              <w:top w:val="single" w:color="auto" w:sz="4" w:space="0"/>
              <w:left w:val="nil"/>
              <w:bottom w:val="single" w:color="auto" w:sz="4" w:space="0"/>
              <w:right w:val="single" w:color="auto" w:sz="4" w:space="0"/>
            </w:tcBorders>
            <w:noWrap/>
            <w:vAlign w:val="center"/>
          </w:tcPr>
          <w:p>
            <w:pPr>
              <w:widowControl/>
              <w:jc w:val="center"/>
              <w:rPr>
                <w:b/>
                <w:bCs/>
                <w:color w:val="000000"/>
                <w:kern w:val="0"/>
                <w:sz w:val="18"/>
                <w:szCs w:val="18"/>
              </w:rPr>
            </w:pPr>
            <w:r>
              <w:rPr>
                <w:b/>
                <w:bCs/>
                <w:color w:val="000000"/>
                <w:kern w:val="0"/>
                <w:sz w:val="18"/>
                <w:szCs w:val="18"/>
              </w:rPr>
              <w:t>仪器设备名称</w:t>
            </w:r>
          </w:p>
        </w:tc>
        <w:tc>
          <w:tcPr>
            <w:tcW w:w="1514" w:type="dxa"/>
            <w:tcBorders>
              <w:top w:val="single" w:color="auto" w:sz="4" w:space="0"/>
              <w:left w:val="nil"/>
              <w:bottom w:val="single" w:color="auto" w:sz="4" w:space="0"/>
              <w:right w:val="single" w:color="auto" w:sz="4" w:space="0"/>
            </w:tcBorders>
            <w:noWrap/>
            <w:vAlign w:val="center"/>
          </w:tcPr>
          <w:p>
            <w:pPr>
              <w:widowControl/>
              <w:jc w:val="center"/>
              <w:rPr>
                <w:b/>
                <w:bCs/>
                <w:color w:val="000000"/>
                <w:kern w:val="0"/>
                <w:sz w:val="18"/>
                <w:szCs w:val="18"/>
              </w:rPr>
            </w:pPr>
            <w:r>
              <w:rPr>
                <w:b/>
                <w:bCs/>
                <w:color w:val="000000"/>
                <w:kern w:val="0"/>
                <w:sz w:val="18"/>
                <w:szCs w:val="18"/>
              </w:rPr>
              <w:t>型号规格</w:t>
            </w:r>
          </w:p>
        </w:tc>
        <w:tc>
          <w:tcPr>
            <w:tcW w:w="994" w:type="dxa"/>
            <w:tcBorders>
              <w:top w:val="single" w:color="auto" w:sz="4" w:space="0"/>
              <w:left w:val="nil"/>
              <w:bottom w:val="single" w:color="auto" w:sz="4" w:space="0"/>
              <w:right w:val="single" w:color="auto" w:sz="4" w:space="0"/>
            </w:tcBorders>
            <w:noWrap/>
            <w:vAlign w:val="center"/>
          </w:tcPr>
          <w:p>
            <w:pPr>
              <w:widowControl/>
              <w:jc w:val="center"/>
              <w:rPr>
                <w:b/>
                <w:bCs/>
                <w:color w:val="000000"/>
                <w:kern w:val="0"/>
                <w:sz w:val="18"/>
                <w:szCs w:val="18"/>
              </w:rPr>
            </w:pPr>
            <w:r>
              <w:rPr>
                <w:b/>
                <w:bCs/>
                <w:color w:val="000000"/>
                <w:kern w:val="0"/>
                <w:sz w:val="18"/>
                <w:szCs w:val="18"/>
              </w:rPr>
              <w:t>存放地点</w:t>
            </w:r>
          </w:p>
        </w:tc>
        <w:tc>
          <w:tcPr>
            <w:tcW w:w="3400"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18"/>
                <w:szCs w:val="18"/>
              </w:rPr>
            </w:pPr>
            <w:r>
              <w:rPr>
                <w:rFonts w:hint="eastAsia"/>
                <w:b/>
                <w:bCs/>
                <w:color w:val="000000"/>
                <w:kern w:val="0"/>
                <w:sz w:val="18"/>
                <w:szCs w:val="18"/>
              </w:rPr>
              <w:t>计划</w:t>
            </w:r>
            <w:r>
              <w:rPr>
                <w:b/>
                <w:bCs/>
                <w:color w:val="000000"/>
                <w:kern w:val="0"/>
                <w:sz w:val="18"/>
                <w:szCs w:val="18"/>
              </w:rPr>
              <w:t>标定参数</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烘箱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STHX-3A</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温度示值误差、温度均匀性、控温波动度、定时精度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JY1002</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JS15-01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JS30-01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灌水法容重测定仪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GSY-1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容器容积精度、量测刻度准确性、密封性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土壤筛</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0.075~60mm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筛孔尺寸偏差、筛网平整度、筛框垂直度、筛分效率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土壤密度计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TM-85</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刻度示值误差、垂直度、密度范围准确性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JJJC-1-011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液塑限联合测定仪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LP-100D</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圆锥入土深度示值误差、圆锥质量、下沉时间控制、温度控制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JJJC-1-012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电动击实仪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BKJ-III</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击实锤质量、落距精度、击实频率、击实次数控制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JJJC-1-015</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测力环</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7.5kN</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力值示值误差、重复性、滞后误差、灵敏度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JJJC-1-018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比重瓶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250mL</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容积精度、颈部刻度示值误差、密封性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JJJC-1-019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砂浴</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DK-2</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高温室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温度示值误差、加热均匀性、温控精度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表面振动压实仪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STYY-1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振动频率、振幅、激振力、压实时间控制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回弹模量测定仪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HM-Ⅰ</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量力环示值误差、变形测量精度、加载控制精度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千分表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0-1mm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示值误差、重复性、回程误差、分辨力</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高温炉（箱式电阻炉）</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S×5-12</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高温室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温度示值误差、炉膛温度均匀性、升温速率、温控精度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油浴锅</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HH-S</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高温室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温度示值误差、温度均匀性、控温精度、液位控制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水浴锅</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DZKW-D-2</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温度示值误差、温度均匀性、控温精度、加热稳定性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土壤相对密度仪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XD-1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容器容积精度、刻度示值误差、振动频率、击实效果</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百分表（配7.5kN测力环）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百分表示值误差、测力环力值误差、装配同轴度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长度示值误差、刻度清晰度、直线度、厚度均匀性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测力环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60kN</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力值示值误差、重复性、滞后误差、灵敏度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测力环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30kN</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力值示值误差、重复性、滞后误差、灵敏度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测力环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100kN</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力值示值误差、重复性、滞后误差、灵敏度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测力环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150kN</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力值示值误差、重复性、滞后误差、灵敏度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百分表（配30kN测力环）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百分表示值误差、测力环力值误差、装配精度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JJJC-1-040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JJJC-1-041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JJJC-1-042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JJJC-1-043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JJJC-1-044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标准筛（方孔）</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0.075~63mm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筛孔尺寸偏差、筛网质量、筛框尺寸精度、筛分效率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TS15kg/0.1g</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TS30kg/0.1g</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摇筛机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STSJ-3A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振动频率、振幅、筛分时间控制、各层筛固定稳定性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钢板尺（钢直尺）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0~1000mm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长度示值误差、刻度精度、直线度、边缘平整度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JY2002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JS6-01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JJJC-2-014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烘箱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101A-3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温度示值误差、温度均匀性、控温波动度、定时精度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JJJC-2-015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针片状规准仪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17.1~82.8mm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标准孔尺寸偏差、规准杆直径精度、外形尺寸公差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JJJC-2-016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数显卡尺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示值误差、重复性、分辨率、测量力、各测量面平行度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JJJC-2-018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压碎值试验仪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承压面平行度、尺寸精度、加载同心度、试样筒尺寸公差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JJJC-2-019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洛杉矶磨耗试验机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MH-II</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转数控制精度、钢球质量偏差、磨耗筒尺寸精度、转速稳定性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加速磨光试验机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JM-III</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转速控制精度、加载压力示值误差、磨料供给均匀性、温度控制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烧杯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500mL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容积示值误差、刻度清晰度、耐热性、壁厚均匀性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砂当量试验仪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YL-2B</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量筒刻度示值误差、搅拌转速、计时精度、垂直度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恒温水槽（浴）</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STSY-2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温度示值误差、槽内温度均匀性、控温精度、升温速率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李氏密度瓶（李氏比重瓶）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250mL/0.05mL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容积精度、颈部刻度示值误差、密封性、温度影响修正</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测长仪/比长仪/砼收缩膨胀仪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HSP-540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长度示值误差、温度示值误差、测量力、重复性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0~10mm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波美比重计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1.0~1.1g/cm</w:t>
            </w:r>
            <w:r>
              <w:rPr>
                <w:kern w:val="0"/>
                <w:sz w:val="18"/>
                <w:szCs w:val="18"/>
                <w:vertAlign w:val="superscript"/>
              </w:rPr>
              <w:t>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刻度示值误差、垂直度、温度修正系数、密度范围</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贮存箱（碱骨料试验箱）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JKS</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温度示值误差、湿度控制精度、控温波动度、密封性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软弱颗粒试验机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RKL-1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力值示值误差、加载速率控制、试样夹具尺寸精度、变形测量</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叶轮搅拌机(亚甲蓝搅拌机)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DJ-YJ</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搅拌转速、搅拌时间控制、叶轮尺寸精度、搅拌均匀性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秒表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JM-504</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计时误差、分辨率、启动停止响应时间、累积计时精度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负压筛析仪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FYS-200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负压值示值误差、筛网尺寸偏差、筛分时间控制、密封性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蝶式液塑限测定仪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DSY-91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圆锥质量、入土深度示值误差、下沉时间控制、温度控制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JJJC-3-003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游标卡尺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岩石室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示值误差、重复性、分辨率、测量力、各测量面平行度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JJJC-3-004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JY1002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岩石室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JJJC-3-006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密度瓶（比重瓶）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100mL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岩石室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容积精度、颈部刻度示值误差、密封性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JJJC-4-001</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水泥细度负筛析仪</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FYS-150B</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水泥室3</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负压值示值误差、筛网尺寸偏差、筛分时间控制、密封性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JJJC-4-002</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细度负压筛</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0.045mm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水泥室3</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筛孔尺寸偏差、筛网平整度、筛分效率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JJJC-4-003</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细度负压筛</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0.080mm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水泥室3</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筛孔尺寸偏差、筛网平整度、筛分效率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JJJC-4-004</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比表面积测定仪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FBT-9A</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水泥室3</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比表面积测量误差、温度示值误差、计时精度、密封性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JJJC-4-005</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秒表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JM-504</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水泥室4</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计时误差、分辨率、启动停止响应时间、累积计时精度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JJJC-4-006</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维卡仪（水泥标准稠度仪）</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0-70mm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试针长度、试针直径、标尺示值误差、落距精度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JJJC-4-007</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水泥净浆搅拌机</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NJ-160B</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搅拌转速、搅拌时间控制、叶片尺寸精度、搅拌均匀性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JJJC-4-008</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烘箱</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101A-3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水泥室2</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温度示值误差、温度均匀性、控温波动度、定时精度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JJJC-4-009</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雷氏夹及膨胀测定仪</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LD-50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弹性恢复量示值误差、标尺精度、雷氏夹尺寸偏差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JJJC-4-010</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沸煮箱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FZ-31A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水泥室2</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升温时间控制、恒温温度示值误差、水位控制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JJJC-4-011</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恒温恒湿养护箱</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SHBY-40A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温度示值误差、湿度控制精度、控温精度、密封性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JJJC-4-012</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水泥胶砂搅拌机</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JJ-20S</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搅拌转速、搅拌时间、叶片间隙、搅拌均匀性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JJJC-4-013</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水泥胶砂振实台</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JJ-20LX</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振动频率、振幅、振动时间、台面平整度、偏心距</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JJJC-4-014</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水泥胶砂流动度测定仪（电动跳桌）</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NLD-3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跳动频率、落距精度、流动度测量精度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JJJC-4-015</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磁力加热搅拌器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85-2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搅拌转速、加热温度示值误差、密封性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JJJC-4-016</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氯离子分析仪（测氯蒸馏装置）</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CCL-5A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蒸馏精度、温度示值误差、计时精度、密封性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JJJC-4-017</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微机控制恒加荷速率压力试验机</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YAW-300D</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力值示值误差、加载速率控制、压板平行度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JJJC-4-018</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李氏比重瓶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250mL/0.05mL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容积精度、颈部刻度示值误差、密封性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YP-50002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JJJC-5-001</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坍落度仪（筒）</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100*200*300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容积精度、垂直度、坍落扩展度测量精度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JJJC-5-002</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砼数显维勃稠度仪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HCY-A</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稠度示值误差、搅拌转速、计时精度、垂直度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JJJC-5-003</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混凝土振动台试验仪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ZHJ100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振动频率、振幅、振动时间、台面平整度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JJJC-5-004</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秒表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JM-504</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计时误差、分辨率、启动停止响应时间、累积计时精度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JJJC-5-006</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砼含气量测定仪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CA-3</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压力示值误差、密封性、容积精度、温度修正</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JJJC-5-007</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砼贯入阻力仪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SGO-1200N</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力值示值误差、贯入深度示值误差、加载速率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JJJC-5-008</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微变形测量仪（混凝土弹性模量测定仪）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TM-Ⅱ</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现场室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变形测量精度、测力精度、稳定性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JJJC-5-010</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水泥混凝土渗透仪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HP-4.0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压力示值误差、密封性、容积精度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JJJC-5-011</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电子台称</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TCS-100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称量精度、重复性、线性误差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JJJC-5-012</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标准养护室（恒温恒湿自动控制仪）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BYSF-60 3P</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养护室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温度示值误差、湿度控制精度、控温精度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JJJC-5-013</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混凝土卧式搅拌机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STWJ-60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搅拌转速、搅拌时间控制、搅拌均匀性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JJJC-5-014</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砂浆稠度仪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SC-145</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稠度示值误差、重复性、测量精度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JJJC-5-020</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立式砂浆搅拌机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UJZ-15</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搅拌转速、搅拌时间控制、搅拌均匀性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JJJC-5-022</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数显砂浆凝结时间测定仪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ZKS-100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凝结时间示值误差、测力精度、计时精度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JJJC-5-023</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砂浆分层度仪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分层度测量精度、密封性、容积精度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JJJC-5-024</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自密实混凝土坍落扩展度测定仪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1m*1m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扩展度测量精度、平整度、尺寸精度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JJJC-5-028</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砂浆收缩膨胀仪（测长仪/比长仪）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DCBY-175</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长度示值误差、测量力、重复性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JJJC-5-029</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钢直尺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50cm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长度示值误差、刻度清晰度、直线度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JJJC-5-030</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JY5001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酸度计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PHS-3C</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示值误差、温度补偿精度、稳定性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酸式滴定管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移液管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量筒</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5、10、50、100、200、500、1000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分析天平</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JT2003B/1mg</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天平室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分析天平</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FA2004B</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天平室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秒表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JM-504</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计时误差、分辨率、启动停止响应时间、累积计时精度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JJJC-6-010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容量瓶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500毫升</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JJJC-6-011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容量瓶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500毫升</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JJJC-6-012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容量瓶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1000毫升</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JJJC-6-013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容量瓶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1000毫升</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JJJC-8-001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李氏比重瓶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250mL/0.05mL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容积精度、颈部刻度示值误差、密封性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JJJC-8-003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游离氧化钙测定仪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Ca-5</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温度示值误差、滴定精度、计时精度、密封性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JJJC-9-001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HZ5001A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JJJC-9-005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5mm圆孔筛</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φ5mm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筛孔尺寸偏差、筛分效率、尺寸精度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沥青密度（比重）瓶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25mL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容积精度、密封性、温度稳定性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恒温水槽</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HWY-30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温度示值误差、槽内温度均匀性、控温精度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沥青针入度测定仪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SYD-2801F</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针入度示值误差、温度示值误差、计时精度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沥青延度试验器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SYD-4508C</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拉伸速度示值误差、温度示值误差、长度示值误差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沥青软化点试验器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SYD-2806G</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温度示值误差、升温速率、钢球质量、定位精度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旋转式沥青薄膜烘箱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STBX-82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温度示值误差、转速控制精度、空气流量控制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沥青动力粘度试验仪（真空减压毛细管黏度计）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SYD-0620B</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动力粘度示值误差、温度示值误差、真空度控制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克利夫兰开口闪点仪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SYD-3636</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温度示值误差、加热速率、点火控制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JJJC-10-010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烘箱（电热鼓风恒温干燥箱）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101A-2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温度示值误差、温度均匀性、控温波动度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JJJC-10-011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冰箱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DW-180-40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温度示值误差、制冷精度、密封性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JJJC-10-012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沥青标准粘度试验仪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SYD-0621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标准粘度示值误差、温度示值误差、流量控制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JJJC-10-013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滤筛（1.18mm）</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1.18mm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筛孔尺寸偏差、筛分效率、尺寸精度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JJJC-10-017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温度计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0~100℃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温度示值误差、测量精度、稳定性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沥青混合料拌和机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SLHB-Ⅲ</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温度示值误差、搅拌转速、加热均匀性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烘箱（恒温干燥箱）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101A-3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温度示值误差、温度均匀性、控温波动度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浸水天平（静水天平）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JY5001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称量精度、重复性、线性误差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控温溢流水槽</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STYLS-2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温度示值误差、控温精度、密封性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低温恒温溢流水箱(带网篮）</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TDYL-III</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温度示值误差、控温精度、溢流水稳定性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马歇尔电动击实仪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SMZ-Ⅱ</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击实锤质量、落距精度、击实频率、击实次数控制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马歇尔稳定度测定仪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LHWD-3A</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稳定度示值误差、流值示值误差、加载速率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恒温水槽</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STSY-3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温度示值误差、槽内温度均匀性、控温精度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燃烧炉（燃烧法沥青含量分析仪）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QYRS-6</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岩石室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温度示值误差、加热均匀性、称量精度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JJJC-11-010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沥青混合料最大理论密度仪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LM-Ⅳ</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密度测量精度、密封性、温度稳定性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JJJC-11-011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车辙试样成型机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KRCX-5</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温度示值误差、加载压力示值误差、轮压控制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JJJC-11-012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自动车辙试验仪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KRCZ-5</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温度示值误差、制冷精度、密封性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JJJC-11-013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恒温冰箱（低温试验箱）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BD/BC-238A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温度示值误差、制冷精度、密封性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JJJC-11-014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TS15kg/0.1g</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0~1000mm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长度示值误差、刻度清晰度、直线度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JJJC-12-002</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压力试验机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STYE-2000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力值示值误差、加载速率控制、压板平行度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JJJC-12-003</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数显万能材料试验机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WA-1000B</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力值示值误差、变形示值误差、加载速率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JJJC-12-004</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数显万能材料试验机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WA-300B</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力值示值误差、变形示值误差、加载速率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JJJC-12-005</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引伸仪（电子引伸计）</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ZES</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变形测量精度、测力精度、稳定性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JJJC-12-006</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游标卡尺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示值误差、重复性、分辨率、测量力、各测量面平行度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JJJC-12-007</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标距打点机（连续标点机）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XLB-1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标距长度示值误差、打点精度、稳定性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JJJC-12-010</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钢筋弯曲试验机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GW-40S</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弯曲角度控制、弯曲半径精度、加载速度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JJJC-12-012</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JS6-01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钢卷尺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7.5m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长度示值误差、刻度清晰度、伸缩灵活性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JJJC-13-002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长度示值误差、刻度清晰度、直线度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游标卡尺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示值误差、重复性、分辨率、测量力、各测量面平行度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水准仪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NL32A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水准器角值误差、视准轴平行度、读数精度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全站仪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ES-600G</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角度测量误差、距离测量误差、补偿器精度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三米直尺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JZC-G2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长度示值误差、平整度、垂直度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数显深度尺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贝克曼梁</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5.4m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弯沉仪臂长精度、百分表示值误差、支座稳定性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路表温度计（红外线测温仪）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UT300A+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温度示值误差、测量精度、稳定性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摆式摩擦系数测定仪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BM-Ⅲ</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摆值示值误差、滑块质量偏差、摆臂长度精度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人工铺砂仪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砂体积精度、刮尺平整度、测量重复性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路面渗水仪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HDSS-Ⅱ</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量筒刻度示值误差、渗水时间控制、密封性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秒表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JM-504</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计时误差、分辨率、启动停止响应时间、累积计时精度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JJJC-13-020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电动铺砂仪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ALD-138</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铺砂精度、尺寸精度、重复性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JJJC-13-022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路面横断面尺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LHHD-Ⅰ</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横断面尺寸精度、刻度示值误差、平整度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JJJC-13-025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路面层间粘结力拉拔试验仪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MR-LM3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拉拔力示值误差、加载速率控制、位移精度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JJJC-13-026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拉伸仪（电子引伸计）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YYU-10/100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变形测量精度、测力精度、稳定性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JJJC-13-028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　</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示值误差、重复性、回程误差、分辨力</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JJJC-13-029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落球式回弹模量测试仪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DCA-P-02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模量示值误差、加载精度、变形测量精度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混凝土回弹仪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ZC3-E+</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率定值误差、指针摩擦力、冲击能量</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碳化深度测量装置</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0-8mm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深度示值误差、重复性、测量精度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钢筋探测仪（一体式钢筋检测仪）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ZBL-R660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钢筋位置测量精度、直径测量误差、保护层厚度误差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长度示值误差、刻度清晰度、直线度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钢卷尺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0~5m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长度示值误差、刻度清晰度、伸缩灵活性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游标卡尺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示值误差、重复性、分辨率、测量力、各测量面平行度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裂缝综合测试仪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ZBL-F800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裂缝宽度示值误差、深度测量误差、长度测量精度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承载板测试仪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60KN，300mm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承载精度、力值示值误差、变形测量精度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压力表（荷载加载装置）</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（0~60）MPa/2MPa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压力示值误差、重复性、回程误差、量程准确性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动力触探仪（轻型触探仪）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FD-635N</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探头面积精度、锤击能量、计数精度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静力触探仪（含测力传感器）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CDL-3T</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测力传感器示值误差、深度测量精度、贯入速率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无线超声波检测仪（多通道超声测桩仪+超声测桩提升装置）</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U5600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声时测量误差、声幅测量精度、定位精度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基桩动测仪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ZBL-P8000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振动频率测量精度、加速度测量误差、分析精度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精密水准仪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DSZ1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水准器角值误差、视准轴平行度、读数精度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长度示值误差、刻度清晰度、直线度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卷尺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长度示值误差、刻度清晰度、伸缩灵活性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卡尺（游标卡尺）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示值误差、重复性、分辨率、测量力、各测量面平行度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万能角尺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320°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角度示值误差、重复性、测量精度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塞尺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厚度示值误差、平行度、柔韧性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锤线（吊锤）</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JZC-4500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垂直度、质量均匀性、线的直线度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千分尺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25mm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示值误差、重复性、平行度、测量力</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超声波测厚仪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TT380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厚度示值误差、分辨率、声速校准</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涂层测厚仪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TT2610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厚度示值误差、重复性、分辨率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JJJC-16-010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标线涂层厚度测试仪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STT-950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厚度示值误差、测量压力、分辨率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JJJC-16-011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竖直度尺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JZC-D</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垂直度误差、长度示值误差、刻度精度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JJJC-16-012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逆反射标志测量仪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STT-101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逆反射系数示值误差、角度控制、光源稳定性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JJJC-16-013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标线逆反射测量仪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RP-R12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逆反射系数示值误差、角度控制、光源稳定性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1"/>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JJJC-16-014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护栏立柱质量检测仪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DCA-E-22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立柱垂直度测量误差、壁厚测量精度、长度测量误差</w:t>
            </w:r>
          </w:p>
        </w:tc>
      </w:tr>
    </w:tbl>
    <w:p/>
    <w:p>
      <w:pPr>
        <w:spacing w:line="360" w:lineRule="auto"/>
        <w:rPr>
          <w:rFonts w:hint="eastAsia" w:ascii="宋体" w:hAnsi="宋体" w:cs="宋体"/>
          <w:b/>
          <w:bCs/>
          <w:szCs w:val="21"/>
        </w:rPr>
      </w:pPr>
      <w:r>
        <w:rPr>
          <w:rFonts w:hint="eastAsia" w:ascii="宋体" w:hAnsi="宋体" w:cs="宋体"/>
          <w:b/>
          <w:bCs/>
          <w:szCs w:val="21"/>
        </w:rPr>
        <w:t>（五）、服务周期与进度要求</w:t>
      </w:r>
      <w:bookmarkEnd w:id="18"/>
    </w:p>
    <w:p>
      <w:pPr>
        <w:spacing w:line="360" w:lineRule="auto"/>
        <w:ind w:firstLine="210" w:firstLineChars="100"/>
        <w:rPr>
          <w:rFonts w:hint="eastAsia" w:ascii="宋体" w:hAnsi="宋体" w:cs="宋体"/>
          <w:szCs w:val="21"/>
        </w:rPr>
      </w:pPr>
      <w:r>
        <w:rPr>
          <w:rFonts w:hint="eastAsia" w:ascii="宋体" w:hAnsi="宋体" w:cs="宋体"/>
          <w:szCs w:val="21"/>
        </w:rPr>
        <w:t>1、 响应时效：甲方通知后24小时内对接，48小时内进场开展标定作业；</w:t>
      </w:r>
    </w:p>
    <w:p>
      <w:pPr>
        <w:spacing w:line="360" w:lineRule="auto"/>
        <w:ind w:firstLine="210" w:firstLineChars="100"/>
        <w:rPr>
          <w:rFonts w:hint="eastAsia" w:ascii="宋体" w:hAnsi="宋体" w:cs="宋体"/>
          <w:szCs w:val="21"/>
        </w:rPr>
      </w:pPr>
      <w:r>
        <w:rPr>
          <w:rFonts w:hint="eastAsia" w:ascii="宋体" w:hAnsi="宋体" w:cs="宋体"/>
          <w:szCs w:val="21"/>
        </w:rPr>
        <w:t>2、 常规周期：小型试验室全套设备标定，3个工作日内完成现场作业，7个工作日内出具全套盖章有效证书及资料；</w:t>
      </w:r>
    </w:p>
    <w:p>
      <w:pPr>
        <w:spacing w:line="360" w:lineRule="auto"/>
        <w:ind w:firstLine="210" w:firstLineChars="100"/>
        <w:rPr>
          <w:rFonts w:hint="eastAsia" w:ascii="宋体" w:hAnsi="宋体" w:cs="宋体"/>
          <w:szCs w:val="21"/>
        </w:rPr>
      </w:pPr>
      <w:r>
        <w:rPr>
          <w:rFonts w:hint="eastAsia" w:ascii="宋体" w:hAnsi="宋体" w:cs="宋体"/>
          <w:szCs w:val="21"/>
        </w:rPr>
        <w:t>3、 批量/大型试验室：根据设备数量协商进度，分区域、分批次完成，不影响试验室正常试验工作；</w:t>
      </w:r>
    </w:p>
    <w:p>
      <w:pPr>
        <w:spacing w:line="360" w:lineRule="auto"/>
        <w:ind w:firstLine="210" w:firstLineChars="100"/>
        <w:rPr>
          <w:rFonts w:hint="eastAsia" w:ascii="宋体" w:hAnsi="宋体" w:cs="宋体"/>
          <w:szCs w:val="21"/>
        </w:rPr>
      </w:pPr>
      <w:r>
        <w:rPr>
          <w:rFonts w:hint="eastAsia" w:ascii="宋体" w:hAnsi="宋体" w:cs="宋体"/>
          <w:szCs w:val="21"/>
        </w:rPr>
        <w:t>4、加急要求：遇项目检查、备案、验收紧急情况，乙方须提供加急服务，优先排期、优先出证；</w:t>
      </w:r>
    </w:p>
    <w:p>
      <w:pPr>
        <w:spacing w:line="360" w:lineRule="auto"/>
        <w:ind w:firstLine="210" w:firstLineChars="100"/>
        <w:rPr>
          <w:rFonts w:hint="eastAsia" w:ascii="宋体" w:hAnsi="宋体" w:cs="宋体"/>
          <w:szCs w:val="21"/>
        </w:rPr>
      </w:pPr>
      <w:r>
        <w:rPr>
          <w:rFonts w:hint="eastAsia" w:ascii="宋体" w:hAnsi="宋体" w:cs="宋体"/>
          <w:szCs w:val="21"/>
        </w:rPr>
        <w:t>5、 进度管控：作业期间每日同步进度，完工后一次性交付全部资料，无拖延、无分批零散交付。</w:t>
      </w:r>
    </w:p>
    <w:p>
      <w:pPr>
        <w:spacing w:line="360" w:lineRule="auto"/>
        <w:rPr>
          <w:rFonts w:hint="eastAsia" w:ascii="宋体" w:hAnsi="宋体" w:cs="宋体"/>
          <w:b/>
          <w:bCs/>
          <w:szCs w:val="21"/>
        </w:rPr>
      </w:pPr>
      <w:bookmarkStart w:id="19" w:name="heading_8"/>
      <w:r>
        <w:rPr>
          <w:rFonts w:hint="eastAsia" w:ascii="宋体" w:hAnsi="宋体" w:cs="宋体"/>
          <w:b/>
          <w:bCs/>
          <w:szCs w:val="21"/>
        </w:rPr>
        <w:t>（六）、服务质量与验收标准</w:t>
      </w:r>
      <w:bookmarkEnd w:id="19"/>
    </w:p>
    <w:p>
      <w:pPr>
        <w:spacing w:line="360" w:lineRule="auto"/>
        <w:ind w:firstLine="210" w:firstLineChars="100"/>
        <w:rPr>
          <w:rFonts w:hint="eastAsia" w:ascii="宋体" w:hAnsi="宋体" w:cs="宋体"/>
          <w:szCs w:val="21"/>
        </w:rPr>
      </w:pPr>
      <w:bookmarkStart w:id="20" w:name="heading_9"/>
      <w:r>
        <w:rPr>
          <w:rFonts w:hint="eastAsia" w:ascii="宋体" w:hAnsi="宋体" w:cs="宋体"/>
          <w:szCs w:val="21"/>
        </w:rPr>
        <w:t>1、作业质量标准</w:t>
      </w:r>
      <w:bookmarkEnd w:id="20"/>
    </w:p>
    <w:p>
      <w:pPr>
        <w:spacing w:line="360" w:lineRule="auto"/>
        <w:rPr>
          <w:rFonts w:hint="eastAsia" w:ascii="宋体" w:hAnsi="宋体" w:cs="宋体"/>
          <w:szCs w:val="21"/>
        </w:rPr>
      </w:pPr>
      <w:r>
        <w:rPr>
          <w:rFonts w:hint="eastAsia" w:ascii="宋体" w:hAnsi="宋体" w:cs="宋体"/>
          <w:szCs w:val="21"/>
        </w:rPr>
        <w:t>（1） 标定流程100%合规，严格按照对应JJG/JJF标准执行，标定点位、量程、精度、误差判定完全符合公路试验检测使用要求；</w:t>
      </w:r>
    </w:p>
    <w:p>
      <w:pPr>
        <w:spacing w:line="360" w:lineRule="auto"/>
        <w:rPr>
          <w:rFonts w:hint="eastAsia" w:ascii="宋体" w:hAnsi="宋体" w:cs="宋体"/>
          <w:szCs w:val="21"/>
        </w:rPr>
      </w:pPr>
      <w:r>
        <w:rPr>
          <w:rFonts w:hint="eastAsia" w:ascii="宋体" w:hAnsi="宋体" w:cs="宋体"/>
          <w:szCs w:val="21"/>
        </w:rPr>
        <w:t>（2）原始记录完整、真实、可追溯，包含环境温湿度、标定时间、操作人员、实测数据、误差计算、设备状态；</w:t>
      </w:r>
    </w:p>
    <w:p>
      <w:pPr>
        <w:spacing w:line="360" w:lineRule="auto"/>
        <w:rPr>
          <w:rFonts w:hint="eastAsia" w:ascii="宋体" w:hAnsi="宋体" w:cs="宋体"/>
          <w:szCs w:val="21"/>
        </w:rPr>
      </w:pPr>
      <w:r>
        <w:rPr>
          <w:rFonts w:hint="eastAsia" w:ascii="宋体" w:hAnsi="宋体" w:cs="宋体"/>
          <w:szCs w:val="21"/>
        </w:rPr>
        <w:t>（3） 作业过程中保护甲方设备，不得造成设备损坏、部件丢失、参数错乱，人为损坏由乙方全额赔偿；</w:t>
      </w:r>
    </w:p>
    <w:p>
      <w:pPr>
        <w:spacing w:line="360" w:lineRule="auto"/>
        <w:rPr>
          <w:rFonts w:hint="eastAsia" w:ascii="宋体" w:hAnsi="宋体" w:cs="宋体"/>
          <w:szCs w:val="21"/>
        </w:rPr>
      </w:pPr>
      <w:r>
        <w:rPr>
          <w:rFonts w:hint="eastAsia" w:ascii="宋体" w:hAnsi="宋体" w:cs="宋体"/>
          <w:szCs w:val="21"/>
        </w:rPr>
        <w:t>（4） 现场文明施工，遵守试验室管理制度，作业完毕清理现场、恢复设备原状。</w:t>
      </w:r>
    </w:p>
    <w:p>
      <w:pPr>
        <w:spacing w:line="360" w:lineRule="auto"/>
        <w:ind w:firstLine="210" w:firstLineChars="100"/>
        <w:rPr>
          <w:rFonts w:hint="eastAsia" w:ascii="宋体" w:hAnsi="宋体" w:cs="宋体"/>
          <w:szCs w:val="21"/>
        </w:rPr>
      </w:pPr>
      <w:bookmarkStart w:id="21" w:name="heading_10"/>
      <w:r>
        <w:rPr>
          <w:rFonts w:hint="eastAsia" w:ascii="宋体" w:hAnsi="宋体" w:cs="宋体"/>
          <w:szCs w:val="21"/>
        </w:rPr>
        <w:t>2、成果验收标准</w:t>
      </w:r>
      <w:bookmarkEnd w:id="21"/>
    </w:p>
    <w:p>
      <w:pPr>
        <w:spacing w:line="360" w:lineRule="auto"/>
        <w:rPr>
          <w:rFonts w:hint="eastAsia" w:ascii="宋体" w:hAnsi="宋体" w:cs="宋体"/>
          <w:szCs w:val="21"/>
        </w:rPr>
      </w:pPr>
      <w:r>
        <w:rPr>
          <w:rFonts w:hint="eastAsia" w:ascii="宋体" w:hAnsi="宋体" w:cs="宋体"/>
          <w:szCs w:val="21"/>
        </w:rPr>
        <w:t>（1） 资质合规：所有证书带CNAS有效签章、唯一编号，资质范围全覆盖，无超范围标定；</w:t>
      </w:r>
    </w:p>
    <w:p>
      <w:pPr>
        <w:spacing w:line="360" w:lineRule="auto"/>
        <w:rPr>
          <w:rFonts w:hint="eastAsia" w:ascii="宋体" w:hAnsi="宋体" w:cs="宋体"/>
          <w:szCs w:val="21"/>
        </w:rPr>
      </w:pPr>
      <w:r>
        <w:rPr>
          <w:rFonts w:hint="eastAsia" w:ascii="宋体" w:hAnsi="宋体" w:cs="宋体"/>
          <w:szCs w:val="21"/>
        </w:rPr>
        <w:t>（2） 数据合格：所有在用设备标定结果满足公路工程检测精度要求，不合格设备需出具专项说明及整改建议；</w:t>
      </w:r>
    </w:p>
    <w:p>
      <w:pPr>
        <w:spacing w:line="360" w:lineRule="auto"/>
        <w:rPr>
          <w:rFonts w:hint="eastAsia" w:ascii="宋体" w:hAnsi="宋体" w:cs="宋体"/>
          <w:szCs w:val="21"/>
        </w:rPr>
      </w:pPr>
      <w:r>
        <w:rPr>
          <w:rFonts w:hint="eastAsia" w:ascii="宋体" w:hAnsi="宋体" w:cs="宋体"/>
          <w:szCs w:val="21"/>
        </w:rPr>
        <w:t>（3） 资料齐全：交付校准/检定证书纸质+电子档齐全；</w:t>
      </w:r>
    </w:p>
    <w:p>
      <w:pPr>
        <w:spacing w:line="360" w:lineRule="auto"/>
        <w:rPr>
          <w:rFonts w:hint="eastAsia" w:ascii="宋体" w:hAnsi="宋体" w:cs="宋体"/>
          <w:szCs w:val="21"/>
        </w:rPr>
      </w:pPr>
      <w:r>
        <w:rPr>
          <w:rFonts w:hint="eastAsia" w:ascii="宋体" w:hAnsi="宋体" w:cs="宋体"/>
          <w:szCs w:val="21"/>
        </w:rPr>
        <w:t>（4） 核查通过：交付资料必须满足工地试验室备案、日常巡查、质监检查、交工竣工验收要求，通过主管部门核查；</w:t>
      </w:r>
    </w:p>
    <w:p>
      <w:pPr>
        <w:spacing w:line="360" w:lineRule="auto"/>
        <w:rPr>
          <w:rFonts w:hint="eastAsia" w:ascii="宋体" w:hAnsi="宋体" w:cs="宋体"/>
          <w:szCs w:val="21"/>
        </w:rPr>
      </w:pPr>
      <w:r>
        <w:rPr>
          <w:rFonts w:hint="eastAsia" w:ascii="宋体" w:hAnsi="宋体" w:cs="宋体"/>
          <w:szCs w:val="21"/>
        </w:rPr>
        <w:t>（5）标识规范：所有合格设备计量标识配备齐全、信息准确、有效期清晰，与证书台账一一对应。</w:t>
      </w:r>
    </w:p>
    <w:p>
      <w:pPr>
        <w:spacing w:line="360" w:lineRule="auto"/>
        <w:ind w:firstLine="210" w:firstLineChars="100"/>
        <w:rPr>
          <w:rFonts w:hint="eastAsia" w:ascii="宋体" w:hAnsi="宋体" w:cs="宋体"/>
          <w:szCs w:val="21"/>
        </w:rPr>
      </w:pPr>
      <w:bookmarkStart w:id="22" w:name="heading_11"/>
      <w:r>
        <w:rPr>
          <w:rFonts w:hint="eastAsia" w:ascii="宋体" w:hAnsi="宋体" w:cs="宋体"/>
          <w:szCs w:val="21"/>
        </w:rPr>
        <w:t>3、售后质保与整改要求</w:t>
      </w:r>
      <w:bookmarkEnd w:id="22"/>
    </w:p>
    <w:p>
      <w:pPr>
        <w:spacing w:line="360" w:lineRule="auto"/>
        <w:rPr>
          <w:rFonts w:hint="eastAsia" w:ascii="宋体" w:hAnsi="宋体" w:cs="宋体"/>
          <w:szCs w:val="21"/>
        </w:rPr>
      </w:pPr>
      <w:r>
        <w:rPr>
          <w:rFonts w:hint="eastAsia" w:ascii="宋体" w:hAnsi="宋体" w:cs="宋体"/>
          <w:szCs w:val="21"/>
        </w:rPr>
        <w:t>（1） 标定成果质保期不少于12个月，质保期内因乙方标定失误、数据错误、证书问题导致检查不通过，乙方免费重标、重出资料并承担全部责任；</w:t>
      </w:r>
    </w:p>
    <w:p>
      <w:pPr>
        <w:spacing w:line="360" w:lineRule="auto"/>
        <w:rPr>
          <w:rFonts w:hint="eastAsia" w:ascii="宋体" w:hAnsi="宋体" w:cs="宋体"/>
          <w:szCs w:val="21"/>
        </w:rPr>
      </w:pPr>
      <w:r>
        <w:rPr>
          <w:rFonts w:hint="eastAsia" w:ascii="宋体" w:hAnsi="宋体" w:cs="宋体"/>
          <w:szCs w:val="21"/>
        </w:rPr>
        <w:t>（2） 甲方对标定数据有异议时，乙方48小时内到场复核、答疑、复检；</w:t>
      </w:r>
    </w:p>
    <w:p>
      <w:pPr>
        <w:spacing w:line="360" w:lineRule="auto"/>
        <w:rPr>
          <w:rFonts w:hint="eastAsia" w:ascii="宋体" w:hAnsi="宋体" w:cs="宋体"/>
          <w:szCs w:val="21"/>
        </w:rPr>
      </w:pPr>
      <w:r>
        <w:rPr>
          <w:rFonts w:hint="eastAsia" w:ascii="宋体" w:hAnsi="宋体" w:cs="宋体"/>
          <w:szCs w:val="21"/>
        </w:rPr>
        <w:t>（3） 全程配合项目各类检查、审核答疑，无偿提供技术支撑；</w:t>
      </w:r>
    </w:p>
    <w:p>
      <w:pPr>
        <w:spacing w:line="360" w:lineRule="auto"/>
        <w:rPr>
          <w:rFonts w:hint="eastAsia" w:ascii="宋体" w:hAnsi="宋体" w:cs="宋体"/>
          <w:szCs w:val="21"/>
        </w:rPr>
      </w:pPr>
      <w:r>
        <w:rPr>
          <w:rFonts w:hint="eastAsia" w:ascii="宋体" w:hAnsi="宋体" w:cs="宋体"/>
          <w:szCs w:val="21"/>
        </w:rPr>
        <w:t>（4） 验收不合格、资料缺失、标准不符的，乙方须48小时内整改完毕，直至完全合规。</w:t>
      </w:r>
    </w:p>
    <w:p>
      <w:pPr>
        <w:spacing w:line="360" w:lineRule="auto"/>
        <w:rPr>
          <w:rFonts w:hint="eastAsia" w:ascii="宋体" w:hAnsi="宋体" w:cs="宋体"/>
          <w:b/>
          <w:bCs/>
          <w:szCs w:val="21"/>
        </w:rPr>
      </w:pPr>
      <w:bookmarkStart w:id="23" w:name="heading_12"/>
      <w:r>
        <w:rPr>
          <w:rFonts w:hint="eastAsia" w:ascii="宋体" w:hAnsi="宋体" w:cs="宋体"/>
          <w:b/>
          <w:bCs/>
          <w:szCs w:val="21"/>
        </w:rPr>
        <w:t>（七）、交付成果清单</w:t>
      </w:r>
      <w:bookmarkEnd w:id="23"/>
    </w:p>
    <w:p>
      <w:pPr>
        <w:spacing w:line="360" w:lineRule="auto"/>
        <w:ind w:firstLine="210" w:firstLineChars="100"/>
        <w:rPr>
          <w:rFonts w:hint="eastAsia" w:ascii="宋体" w:hAnsi="宋体" w:cs="宋体"/>
          <w:szCs w:val="21"/>
        </w:rPr>
      </w:pPr>
      <w:r>
        <w:rPr>
          <w:rFonts w:hint="eastAsia" w:ascii="宋体" w:hAnsi="宋体" w:cs="宋体"/>
          <w:szCs w:val="21"/>
        </w:rPr>
        <w:t>1、 单台设备检定/校准证书（带CNAS章、可溯源查询）；</w:t>
      </w:r>
    </w:p>
    <w:p>
      <w:pPr>
        <w:spacing w:line="360" w:lineRule="auto"/>
        <w:ind w:firstLine="210" w:firstLineChars="100"/>
        <w:rPr>
          <w:rFonts w:hint="eastAsia" w:ascii="宋体" w:hAnsi="宋体" w:cs="宋体"/>
          <w:szCs w:val="21"/>
        </w:rPr>
      </w:pPr>
      <w:r>
        <w:rPr>
          <w:rFonts w:hint="eastAsia" w:ascii="宋体" w:hAnsi="宋体" w:cs="宋体"/>
          <w:szCs w:val="21"/>
        </w:rPr>
        <w:t>2、试验室设备标定汇总表、有效期台账、检定/校准确认表；</w:t>
      </w:r>
    </w:p>
    <w:p>
      <w:pPr>
        <w:spacing w:line="360" w:lineRule="auto"/>
        <w:ind w:firstLine="210" w:firstLineChars="100"/>
        <w:rPr>
          <w:rFonts w:hint="eastAsia" w:ascii="宋体" w:hAnsi="宋体" w:cs="宋体"/>
          <w:szCs w:val="21"/>
        </w:rPr>
      </w:pPr>
      <w:r>
        <w:rPr>
          <w:rFonts w:hint="eastAsia" w:ascii="宋体" w:hAnsi="宋体" w:cs="宋体"/>
          <w:szCs w:val="21"/>
        </w:rPr>
        <w:t>4、 乙方CNAS资质附表、作业人员资质复印件（盖章）；</w:t>
      </w:r>
    </w:p>
    <w:p>
      <w:pPr>
        <w:spacing w:line="360" w:lineRule="auto"/>
        <w:ind w:firstLine="210" w:firstLineChars="100"/>
        <w:rPr>
          <w:rFonts w:hint="eastAsia" w:ascii="宋体" w:hAnsi="宋体" w:cs="宋体"/>
          <w:szCs w:val="21"/>
        </w:rPr>
      </w:pPr>
      <w:r>
        <w:rPr>
          <w:rFonts w:hint="eastAsia" w:ascii="宋体" w:hAnsi="宋体" w:cs="宋体"/>
          <w:szCs w:val="21"/>
        </w:rPr>
        <w:t>5、 超差/异常设备分析报告及整改建议；</w:t>
      </w:r>
    </w:p>
    <w:p>
      <w:pPr>
        <w:spacing w:line="360" w:lineRule="auto"/>
        <w:ind w:firstLine="210" w:firstLineChars="100"/>
        <w:rPr>
          <w:rFonts w:hint="eastAsia" w:ascii="宋体" w:hAnsi="宋体" w:cs="宋体"/>
          <w:szCs w:val="21"/>
        </w:rPr>
      </w:pPr>
      <w:r>
        <w:rPr>
          <w:rFonts w:hint="eastAsia" w:ascii="宋体" w:hAnsi="宋体" w:cs="宋体"/>
          <w:szCs w:val="21"/>
        </w:rPr>
        <w:t>6、 全部资料电子归档文件</w:t>
      </w:r>
    </w:p>
    <w:p>
      <w:pPr>
        <w:spacing w:line="360" w:lineRule="auto"/>
        <w:rPr>
          <w:rFonts w:hint="eastAsia" w:ascii="宋体" w:hAnsi="宋体" w:cs="宋体"/>
          <w:b/>
          <w:bCs/>
          <w:szCs w:val="21"/>
        </w:rPr>
      </w:pPr>
      <w:r>
        <w:rPr>
          <w:rFonts w:hint="eastAsia" w:ascii="宋体" w:hAnsi="宋体" w:cs="宋体"/>
          <w:b/>
          <w:bCs/>
          <w:szCs w:val="21"/>
        </w:rPr>
        <w:t>三、供应商资质与人员要求</w:t>
      </w:r>
    </w:p>
    <w:p>
      <w:pPr>
        <w:spacing w:line="360" w:lineRule="auto"/>
        <w:ind w:firstLine="210" w:firstLineChars="100"/>
        <w:rPr>
          <w:rFonts w:hint="eastAsia" w:ascii="宋体" w:hAnsi="宋体" w:cs="宋体"/>
          <w:szCs w:val="21"/>
        </w:rPr>
      </w:pPr>
      <w:r>
        <w:rPr>
          <w:rFonts w:hint="eastAsia" w:ascii="宋体" w:hAnsi="宋体" w:cs="宋体"/>
          <w:szCs w:val="21"/>
        </w:rPr>
        <w:t>1、企业资质要求</w:t>
      </w:r>
    </w:p>
    <w:p>
      <w:pPr>
        <w:spacing w:line="360" w:lineRule="auto"/>
        <w:rPr>
          <w:rFonts w:hint="eastAsia" w:ascii="宋体" w:hAnsi="宋体" w:cs="宋体"/>
          <w:szCs w:val="21"/>
        </w:rPr>
      </w:pPr>
      <w:r>
        <w:rPr>
          <w:rFonts w:hint="eastAsia" w:ascii="宋体" w:hAnsi="宋体" w:cs="宋体"/>
          <w:szCs w:val="21"/>
        </w:rPr>
        <w:t>（1） 具备独立法人资格，营业执照经营范围包含计量校准、仪器检定、检测设备标定等相关业务；</w:t>
      </w:r>
    </w:p>
    <w:p>
      <w:pPr>
        <w:spacing w:line="360" w:lineRule="auto"/>
        <w:rPr>
          <w:rFonts w:hint="eastAsia" w:ascii="宋体" w:hAnsi="宋体" w:cs="宋体"/>
          <w:szCs w:val="21"/>
        </w:rPr>
      </w:pPr>
      <w:r>
        <w:rPr>
          <w:rFonts w:hint="eastAsia" w:ascii="宋体" w:hAnsi="宋体" w:cs="宋体"/>
          <w:szCs w:val="21"/>
        </w:rPr>
        <w:t>（2）具备CNAS实验室认可资质，可出具全国通用、质监站认可的校准/检定证书；</w:t>
      </w:r>
    </w:p>
    <w:p>
      <w:pPr>
        <w:spacing w:line="360" w:lineRule="auto"/>
        <w:rPr>
          <w:rFonts w:hint="eastAsia" w:ascii="宋体" w:hAnsi="宋体" w:cs="宋体"/>
          <w:szCs w:val="21"/>
        </w:rPr>
      </w:pPr>
      <w:r>
        <w:rPr>
          <w:rFonts w:hint="eastAsia" w:ascii="宋体" w:hAnsi="宋体" w:cs="宋体"/>
          <w:szCs w:val="21"/>
        </w:rPr>
        <w:t>（3） 严禁超范围标定、严禁挂靠资质、严禁转包分包，一经发现无条件终止服务并追责；</w:t>
      </w:r>
    </w:p>
    <w:p>
      <w:pPr>
        <w:spacing w:line="360" w:lineRule="auto"/>
        <w:rPr>
          <w:rFonts w:hint="eastAsia" w:ascii="宋体" w:hAnsi="宋体" w:cs="宋体"/>
          <w:szCs w:val="21"/>
        </w:rPr>
      </w:pPr>
      <w:r>
        <w:rPr>
          <w:rFonts w:hint="eastAsia" w:ascii="宋体" w:hAnsi="宋体" w:cs="宋体"/>
          <w:szCs w:val="21"/>
        </w:rPr>
        <w:t>（4）近3年内无虚假标定、证书造假、行业处罚、重大投诉等不良记录。</w:t>
      </w:r>
    </w:p>
    <w:p>
      <w:pPr>
        <w:spacing w:line="360" w:lineRule="auto"/>
        <w:ind w:firstLine="210" w:firstLineChars="100"/>
        <w:rPr>
          <w:rFonts w:hint="eastAsia" w:ascii="宋体" w:hAnsi="宋体" w:cs="宋体"/>
          <w:szCs w:val="21"/>
        </w:rPr>
      </w:pPr>
      <w:r>
        <w:rPr>
          <w:rFonts w:hint="eastAsia" w:ascii="宋体" w:hAnsi="宋体" w:cs="宋体"/>
          <w:szCs w:val="21"/>
        </w:rPr>
        <w:t>2、作业人员要求</w:t>
      </w:r>
    </w:p>
    <w:p>
      <w:pPr>
        <w:spacing w:line="360" w:lineRule="auto"/>
        <w:rPr>
          <w:rFonts w:hint="eastAsia" w:ascii="宋体" w:hAnsi="宋体" w:cs="宋体"/>
          <w:szCs w:val="21"/>
        </w:rPr>
      </w:pPr>
      <w:r>
        <w:rPr>
          <w:rFonts w:hint="eastAsia" w:ascii="宋体" w:hAnsi="宋体" w:cs="宋体"/>
          <w:szCs w:val="21"/>
        </w:rPr>
        <w:t>（1） 作业人员须持有有效计量检定/校准人员资格证书，人证合一；</w:t>
      </w:r>
    </w:p>
    <w:p>
      <w:pPr>
        <w:spacing w:line="360" w:lineRule="auto"/>
        <w:rPr>
          <w:rFonts w:hint="eastAsia" w:ascii="宋体" w:hAnsi="宋体" w:cs="宋体"/>
          <w:szCs w:val="21"/>
        </w:rPr>
      </w:pPr>
      <w:r>
        <w:rPr>
          <w:rFonts w:hint="eastAsia" w:ascii="宋体" w:hAnsi="宋体" w:cs="宋体"/>
          <w:szCs w:val="21"/>
        </w:rPr>
        <w:t>（2） 熟悉公路工程试验室仪器设备特性及JJG/JJF计量检定校准规范，具备公路试验室标定服务经验；</w:t>
      </w:r>
    </w:p>
    <w:p>
      <w:pPr>
        <w:spacing w:line="360" w:lineRule="auto"/>
        <w:rPr>
          <w:rFonts w:hint="eastAsia" w:ascii="宋体" w:hAnsi="宋体" w:cs="宋体"/>
          <w:szCs w:val="21"/>
        </w:rPr>
      </w:pPr>
      <w:r>
        <w:rPr>
          <w:rFonts w:hint="eastAsia" w:ascii="宋体" w:hAnsi="宋体" w:cs="宋体"/>
          <w:szCs w:val="21"/>
        </w:rPr>
        <w:t>（3） 服从甲方试验室管理制度、现场安全管理规定，配合监理核查及行业检查；</w:t>
      </w:r>
    </w:p>
    <w:p>
      <w:pPr>
        <w:pStyle w:val="2"/>
        <w:jc w:val="both"/>
        <w:rPr>
          <w:rFonts w:hint="eastAsia" w:ascii="宋体" w:hAnsi="宋体" w:cs="宋体"/>
          <w:bCs/>
          <w:sz w:val="21"/>
          <w:szCs w:val="21"/>
        </w:rPr>
      </w:pPr>
      <w:r>
        <w:rPr>
          <w:rFonts w:hint="eastAsia" w:ascii="宋体" w:hAnsi="宋体" w:cs="宋体"/>
          <w:sz w:val="21"/>
          <w:szCs w:val="21"/>
        </w:rPr>
        <w:t xml:space="preserve">（4） </w:t>
      </w:r>
      <w:r>
        <w:rPr>
          <w:rFonts w:hint="eastAsia" w:ascii="宋体" w:hAnsi="宋体" w:cs="宋体"/>
          <w:bCs/>
          <w:sz w:val="21"/>
          <w:szCs w:val="21"/>
        </w:rPr>
        <w:t>必须提供每一名作业人员投标截止日前任意连续3个月缴纳社保的缴费证明，否则响应文件按无效响应处理；</w:t>
      </w:r>
    </w:p>
    <w:p>
      <w:pPr>
        <w:spacing w:line="360" w:lineRule="auto"/>
        <w:ind w:firstLine="210" w:firstLineChars="100"/>
        <w:rPr>
          <w:rFonts w:ascii="宋体" w:hAnsi="宋体"/>
          <w:szCs w:val="21"/>
        </w:rPr>
      </w:pPr>
      <w:bookmarkStart w:id="24" w:name="_Hlk37430271"/>
      <w:bookmarkStart w:id="25" w:name="OLE_LINK3"/>
      <w:r>
        <w:rPr>
          <w:rFonts w:hint="eastAsia" w:ascii="宋体" w:hAnsi="宋体"/>
          <w:szCs w:val="21"/>
        </w:rPr>
        <w:t>3、本项目不接受联合体参与报价。</w:t>
      </w:r>
    </w:p>
    <w:p>
      <w:pPr>
        <w:ind w:firstLine="354" w:firstLineChars="147"/>
        <w:rPr>
          <w:rFonts w:hint="eastAsia" w:ascii="宋体" w:hAnsi="宋体" w:cs="宋体"/>
          <w:b/>
          <w:sz w:val="24"/>
        </w:rPr>
      </w:pPr>
      <w:bookmarkStart w:id="26" w:name="_Toc44229879"/>
      <w:bookmarkStart w:id="27" w:name="_Toc28359090"/>
      <w:bookmarkStart w:id="28" w:name="_Toc28359013"/>
      <w:bookmarkStart w:id="29" w:name="_Toc35393799"/>
      <w:bookmarkStart w:id="30" w:name="_Toc71365906"/>
      <w:bookmarkStart w:id="31" w:name="_Toc35393630"/>
      <w:r>
        <w:rPr>
          <w:rFonts w:hint="eastAsia" w:ascii="宋体" w:hAnsi="宋体" w:cs="宋体"/>
          <w:b/>
          <w:sz w:val="24"/>
        </w:rPr>
        <w:t>四、申请人的资格条件：</w:t>
      </w:r>
      <w:bookmarkEnd w:id="26"/>
      <w:bookmarkEnd w:id="27"/>
      <w:bookmarkEnd w:id="28"/>
      <w:bookmarkEnd w:id="29"/>
      <w:bookmarkEnd w:id="30"/>
      <w:bookmarkEnd w:id="31"/>
    </w:p>
    <w:p>
      <w:pPr>
        <w:spacing w:line="360" w:lineRule="auto"/>
        <w:ind w:firstLine="420" w:firstLineChars="200"/>
        <w:rPr>
          <w:rFonts w:ascii="宋体" w:hAnsi="宋体"/>
          <w:szCs w:val="21"/>
        </w:rPr>
      </w:pPr>
      <w:bookmarkStart w:id="32" w:name="_Toc28359014"/>
      <w:bookmarkStart w:id="33" w:name="_Toc28359091"/>
      <w:bookmarkStart w:id="34" w:name="_Toc35393800"/>
      <w:bookmarkStart w:id="35" w:name="_Toc35393631"/>
      <w:bookmarkStart w:id="36" w:name="_Toc44229880"/>
      <w:r>
        <w:rPr>
          <w:rFonts w:hint="eastAsia" w:ascii="宋体" w:hAnsi="宋体"/>
          <w:szCs w:val="21"/>
        </w:rPr>
        <w:t>1.满足《中华人民共和国政府采购法》第二十二条规定，国内注册，提供本次采购服务的供应商。</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.资格要求：</w:t>
      </w:r>
      <w:r>
        <w:rPr>
          <w:rFonts w:hint="eastAsia" w:ascii="宋体" w:hAnsi="宋体"/>
          <w:b/>
          <w:bCs/>
          <w:szCs w:val="21"/>
        </w:rPr>
        <w:t>非专门面向中小企业</w:t>
      </w:r>
      <w:r>
        <w:rPr>
          <w:rFonts w:hint="eastAsia" w:ascii="宋体" w:hAnsi="宋体"/>
          <w:szCs w:val="21"/>
        </w:rPr>
        <w:t>。</w:t>
      </w:r>
      <w:r>
        <w:rPr>
          <w:rFonts w:ascii="宋体" w:hAnsi="宋体"/>
          <w:szCs w:val="21"/>
        </w:rPr>
        <w:t xml:space="preserve"> </w:t>
      </w:r>
    </w:p>
    <w:p>
      <w:pPr>
        <w:spacing w:line="360" w:lineRule="auto"/>
        <w:ind w:firstLine="420" w:firstLineChars="200"/>
        <w:rPr>
          <w:rFonts w:eastAsia="黑体"/>
        </w:rPr>
      </w:pPr>
      <w:bookmarkStart w:id="37" w:name="_Toc71365907"/>
      <w:r>
        <w:rPr>
          <w:rFonts w:hint="eastAsia" w:ascii="宋体" w:hAnsi="宋体"/>
          <w:szCs w:val="21"/>
        </w:rPr>
        <w:t>3.对在“信用中国”网站(www.creditchina.gov.cn) 、中国政府采购网(www.ccgp.gov.cn)被列入失信被执行人、重大税收违法失信主体名单、政府采购严重违法失信行为记录名单及其他不符合《中华人民共和国政府采购法》第二十二条规定条件的供应商，不得参与本次采购活动。</w:t>
      </w:r>
      <w:bookmarkEnd w:id="32"/>
      <w:bookmarkEnd w:id="33"/>
      <w:bookmarkEnd w:id="34"/>
      <w:bookmarkEnd w:id="35"/>
      <w:bookmarkEnd w:id="36"/>
      <w:bookmarkEnd w:id="37"/>
    </w:p>
    <w:p>
      <w:pPr>
        <w:spacing w:line="360" w:lineRule="auto"/>
        <w:ind w:firstLine="241" w:firstLineChars="100"/>
        <w:rPr>
          <w:rFonts w:hint="eastAsia" w:ascii="宋体" w:hAnsi="宋体" w:eastAsia="宋体" w:cs="宋体"/>
          <w:b/>
          <w:bCs/>
          <w:sz w:val="24"/>
        </w:rPr>
      </w:pPr>
      <w:bookmarkStart w:id="38" w:name="_Toc28359093"/>
      <w:bookmarkStart w:id="39" w:name="_Toc35393633"/>
      <w:bookmarkStart w:id="40" w:name="_Toc44229882"/>
      <w:bookmarkStart w:id="41" w:name="_Toc28359016"/>
      <w:bookmarkStart w:id="42" w:name="_Toc35393802"/>
      <w:r>
        <w:rPr>
          <w:rFonts w:hint="eastAsia" w:ascii="宋体" w:hAnsi="宋体" w:eastAsia="宋体" w:cs="宋体"/>
          <w:b/>
          <w:bCs/>
          <w:sz w:val="24"/>
          <w:lang w:val="en-US" w:eastAsia="zh-CN"/>
        </w:rPr>
        <w:t>五</w:t>
      </w:r>
      <w:r>
        <w:rPr>
          <w:rFonts w:hint="eastAsia" w:ascii="宋体" w:hAnsi="宋体" w:eastAsia="宋体" w:cs="宋体"/>
          <w:b/>
          <w:bCs/>
          <w:sz w:val="24"/>
        </w:rPr>
        <w:t>、递交响应文件的截止时间及地点</w:t>
      </w:r>
    </w:p>
    <w:p>
      <w:pPr>
        <w:spacing w:line="360" w:lineRule="auto"/>
        <w:ind w:firstLine="420" w:firstLineChars="200"/>
        <w:rPr>
          <w:rFonts w:hint="eastAsia" w:ascii="宋体" w:hAnsi="宋体" w:cs="宋体"/>
          <w:szCs w:val="21"/>
        </w:rPr>
      </w:pPr>
      <w:r>
        <w:rPr>
          <w:rFonts w:hint="eastAsia" w:ascii="宋体" w:hAnsi="宋体" w:cs="宋体"/>
          <w:szCs w:val="21"/>
        </w:rPr>
        <w:t>报价文件递交的时间：</w:t>
      </w:r>
      <w:r>
        <w:rPr>
          <w:rFonts w:hint="eastAsia" w:ascii="宋体" w:hAnsi="宋体" w:cs="宋体"/>
          <w:szCs w:val="21"/>
          <w:u w:val="single"/>
        </w:rPr>
        <w:t>自公告发布之日起至</w:t>
      </w:r>
      <w:r>
        <w:rPr>
          <w:rFonts w:hint="eastAsia" w:ascii="宋体" w:hAnsi="宋体" w:cs="宋体"/>
          <w:b/>
          <w:bCs/>
          <w:szCs w:val="21"/>
          <w:u w:val="single"/>
        </w:rPr>
        <w:t xml:space="preserve">2026年 </w:t>
      </w:r>
      <w:r>
        <w:rPr>
          <w:rFonts w:hint="eastAsia" w:ascii="宋体" w:hAnsi="宋体" w:cs="宋体"/>
          <w:b/>
          <w:bCs/>
          <w:szCs w:val="21"/>
          <w:u w:val="single"/>
          <w:lang w:val="en-US" w:eastAsia="zh-CN"/>
        </w:rPr>
        <w:t>6</w:t>
      </w:r>
      <w:r>
        <w:rPr>
          <w:rFonts w:hint="eastAsia" w:ascii="宋体" w:hAnsi="宋体" w:cs="宋体"/>
          <w:b/>
          <w:bCs/>
          <w:szCs w:val="21"/>
          <w:u w:val="single"/>
        </w:rPr>
        <w:t xml:space="preserve">  月 </w:t>
      </w:r>
      <w:r>
        <w:rPr>
          <w:rFonts w:hint="eastAsia" w:ascii="宋体" w:hAnsi="宋体" w:cs="宋体"/>
          <w:b/>
          <w:bCs/>
          <w:szCs w:val="21"/>
          <w:u w:val="single"/>
          <w:lang w:val="en-US" w:eastAsia="zh-CN"/>
        </w:rPr>
        <w:t>26</w:t>
      </w:r>
      <w:r>
        <w:rPr>
          <w:rFonts w:hint="eastAsia" w:ascii="宋体" w:hAnsi="宋体" w:cs="宋体"/>
          <w:b/>
          <w:bCs/>
          <w:szCs w:val="21"/>
          <w:u w:val="single"/>
        </w:rPr>
        <w:t xml:space="preserve">  日 </w:t>
      </w:r>
      <w:r>
        <w:rPr>
          <w:rFonts w:hint="eastAsia" w:ascii="宋体" w:hAnsi="宋体" w:cs="宋体"/>
          <w:b/>
          <w:bCs/>
          <w:szCs w:val="21"/>
          <w:u w:val="single"/>
          <w:lang w:val="en-US" w:eastAsia="zh-CN"/>
        </w:rPr>
        <w:t>上午10</w:t>
      </w:r>
      <w:r>
        <w:rPr>
          <w:rFonts w:hint="eastAsia" w:ascii="宋体" w:hAnsi="宋体" w:cs="宋体"/>
          <w:b/>
          <w:bCs/>
          <w:szCs w:val="21"/>
          <w:u w:val="single"/>
        </w:rPr>
        <w:t xml:space="preserve">  点  </w:t>
      </w:r>
      <w:r>
        <w:rPr>
          <w:rFonts w:hint="eastAsia" w:ascii="宋体" w:hAnsi="宋体" w:cs="宋体"/>
          <w:b/>
          <w:bCs/>
          <w:szCs w:val="21"/>
          <w:u w:val="single"/>
          <w:lang w:val="en-US" w:eastAsia="zh-CN"/>
        </w:rPr>
        <w:t>00</w:t>
      </w:r>
      <w:r>
        <w:rPr>
          <w:rFonts w:hint="eastAsia" w:ascii="宋体" w:hAnsi="宋体" w:cs="宋体"/>
          <w:b/>
          <w:bCs/>
          <w:szCs w:val="21"/>
          <w:u w:val="single"/>
        </w:rPr>
        <w:t xml:space="preserve"> 分止（节假日除外）</w:t>
      </w:r>
      <w:r>
        <w:rPr>
          <w:rFonts w:hint="eastAsia" w:ascii="宋体" w:hAnsi="宋体" w:cs="宋体"/>
          <w:szCs w:val="21"/>
        </w:rPr>
        <w:t>，地点：</w:t>
      </w:r>
      <w:r>
        <w:rPr>
          <w:rFonts w:hint="eastAsia" w:ascii="宋体" w:hAnsi="宋体" w:cs="宋体"/>
          <w:szCs w:val="21"/>
          <w:u w:val="single"/>
        </w:rPr>
        <w:t xml:space="preserve">南宁市邕武路9号广西交通技师学院综合楼1520室 </w:t>
      </w:r>
      <w:r>
        <w:rPr>
          <w:rFonts w:hint="eastAsia" w:ascii="宋体" w:hAnsi="宋体" w:cs="宋体"/>
          <w:szCs w:val="21"/>
        </w:rPr>
        <w:t>。</w:t>
      </w:r>
    </w:p>
    <w:bookmarkEnd w:id="38"/>
    <w:bookmarkEnd w:id="39"/>
    <w:bookmarkEnd w:id="40"/>
    <w:bookmarkEnd w:id="41"/>
    <w:bookmarkEnd w:id="42"/>
    <w:p>
      <w:pPr>
        <w:spacing w:line="360" w:lineRule="auto"/>
        <w:ind w:firstLine="241" w:firstLineChars="100"/>
        <w:rPr>
          <w:rFonts w:hint="eastAsia" w:ascii="宋体" w:hAnsi="宋体" w:eastAsia="宋体" w:cs="宋体"/>
          <w:b/>
          <w:bCs/>
          <w:sz w:val="24"/>
        </w:rPr>
      </w:pPr>
      <w:bookmarkStart w:id="43" w:name="_Toc28359094"/>
      <w:bookmarkStart w:id="44" w:name="_Toc35393803"/>
      <w:bookmarkStart w:id="45" w:name="_Toc71365910"/>
      <w:bookmarkStart w:id="46" w:name="_Toc28359017"/>
      <w:bookmarkStart w:id="47" w:name="_Toc44229883"/>
      <w:bookmarkStart w:id="48" w:name="_Toc35393634"/>
      <w:r>
        <w:rPr>
          <w:rFonts w:hint="eastAsia" w:ascii="宋体" w:hAnsi="宋体" w:eastAsia="宋体" w:cs="宋体"/>
          <w:b/>
          <w:bCs/>
          <w:sz w:val="24"/>
          <w:lang w:val="en-US" w:eastAsia="zh-CN"/>
        </w:rPr>
        <w:t>六</w:t>
      </w:r>
      <w:r>
        <w:rPr>
          <w:rFonts w:hint="eastAsia" w:ascii="宋体" w:hAnsi="宋体" w:eastAsia="宋体" w:cs="宋体"/>
          <w:b/>
          <w:bCs/>
          <w:sz w:val="24"/>
        </w:rPr>
        <w:t>、开标时间及地点</w:t>
      </w:r>
    </w:p>
    <w:p>
      <w:pPr>
        <w:spacing w:line="360" w:lineRule="auto"/>
        <w:ind w:firstLine="420" w:firstLineChars="200"/>
        <w:rPr>
          <w:rFonts w:hint="eastAsia" w:ascii="宋体" w:hAnsi="宋体" w:cs="宋体"/>
          <w:szCs w:val="21"/>
        </w:rPr>
      </w:pPr>
      <w:r>
        <w:rPr>
          <w:rFonts w:hint="eastAsia" w:ascii="宋体" w:hAnsi="宋体" w:cs="宋体"/>
          <w:szCs w:val="21"/>
          <w:u w:val="single"/>
        </w:rPr>
        <w:t xml:space="preserve">2026年 </w:t>
      </w:r>
      <w:r>
        <w:rPr>
          <w:rFonts w:hint="eastAsia" w:ascii="宋体" w:hAnsi="宋体" w:cs="宋体"/>
          <w:szCs w:val="21"/>
          <w:u w:val="single"/>
          <w:lang w:val="en-US" w:eastAsia="zh-CN"/>
        </w:rPr>
        <w:t>6</w:t>
      </w:r>
      <w:r>
        <w:rPr>
          <w:rFonts w:hint="eastAsia" w:ascii="宋体" w:hAnsi="宋体" w:cs="宋体"/>
          <w:szCs w:val="21"/>
          <w:u w:val="single"/>
        </w:rPr>
        <w:t xml:space="preserve">  月</w:t>
      </w:r>
      <w:r>
        <w:rPr>
          <w:rFonts w:hint="eastAsia" w:ascii="宋体" w:hAnsi="宋体" w:cs="宋体"/>
          <w:szCs w:val="21"/>
          <w:u w:val="single"/>
          <w:lang w:val="en-US" w:eastAsia="zh-CN"/>
        </w:rPr>
        <w:t>26</w:t>
      </w:r>
      <w:r>
        <w:rPr>
          <w:rFonts w:hint="eastAsia" w:ascii="宋体" w:hAnsi="宋体" w:cs="宋体"/>
          <w:szCs w:val="21"/>
          <w:u w:val="single"/>
        </w:rPr>
        <w:t xml:space="preserve">   日 </w:t>
      </w:r>
      <w:r>
        <w:rPr>
          <w:rFonts w:hint="eastAsia" w:ascii="宋体" w:hAnsi="宋体" w:cs="宋体"/>
          <w:szCs w:val="21"/>
          <w:u w:val="single"/>
          <w:lang w:val="en-US" w:eastAsia="zh-CN"/>
        </w:rPr>
        <w:t>上午10</w:t>
      </w:r>
      <w:r>
        <w:rPr>
          <w:rFonts w:hint="eastAsia" w:ascii="宋体" w:hAnsi="宋体" w:cs="宋体"/>
          <w:szCs w:val="21"/>
          <w:u w:val="single"/>
        </w:rPr>
        <w:t xml:space="preserve"> 点 </w:t>
      </w:r>
      <w:r>
        <w:rPr>
          <w:rFonts w:hint="eastAsia" w:ascii="宋体" w:hAnsi="宋体" w:cs="宋体"/>
          <w:szCs w:val="21"/>
          <w:u w:val="single"/>
          <w:lang w:val="en-US" w:eastAsia="zh-CN"/>
        </w:rPr>
        <w:t>00</w:t>
      </w:r>
      <w:r>
        <w:rPr>
          <w:rFonts w:hint="eastAsia" w:ascii="宋体" w:hAnsi="宋体" w:cs="宋体"/>
          <w:szCs w:val="21"/>
          <w:u w:val="single"/>
        </w:rPr>
        <w:t xml:space="preserve">  分</w:t>
      </w:r>
      <w:r>
        <w:rPr>
          <w:rFonts w:hint="eastAsia" w:ascii="宋体" w:hAnsi="宋体" w:cs="宋体"/>
          <w:szCs w:val="21"/>
        </w:rPr>
        <w:t>，在</w:t>
      </w:r>
      <w:r>
        <w:rPr>
          <w:rFonts w:hint="eastAsia" w:ascii="宋体" w:hAnsi="宋体" w:cs="宋体"/>
          <w:szCs w:val="21"/>
          <w:u w:val="single"/>
        </w:rPr>
        <w:t xml:space="preserve"> 广西交通技师学院邕武校区综合楼1524室 </w:t>
      </w:r>
      <w:r>
        <w:rPr>
          <w:rFonts w:hint="eastAsia" w:ascii="宋体" w:hAnsi="宋体" w:cs="宋体"/>
          <w:szCs w:val="21"/>
        </w:rPr>
        <w:t>评标，如有变动，另行通知。</w:t>
      </w:r>
    </w:p>
    <w:p>
      <w:pPr>
        <w:spacing w:line="360" w:lineRule="auto"/>
        <w:ind w:firstLine="241" w:firstLineChars="100"/>
        <w:rPr>
          <w:rFonts w:hint="eastAsia" w:ascii="宋体" w:hAnsi="宋体" w:eastAsia="宋体" w:cs="宋体"/>
          <w:b/>
          <w:bCs/>
          <w:sz w:val="24"/>
        </w:rPr>
      </w:pPr>
      <w:r>
        <w:rPr>
          <w:rFonts w:hint="eastAsia" w:ascii="宋体" w:hAnsi="宋体" w:eastAsia="宋体" w:cs="宋体"/>
          <w:b/>
          <w:bCs/>
          <w:sz w:val="24"/>
          <w:lang w:val="en-US" w:eastAsia="zh-CN"/>
        </w:rPr>
        <w:t>七</w:t>
      </w:r>
      <w:r>
        <w:rPr>
          <w:rFonts w:hint="eastAsia" w:ascii="宋体" w:hAnsi="宋体" w:eastAsia="宋体" w:cs="宋体"/>
          <w:b/>
          <w:bCs/>
          <w:sz w:val="24"/>
        </w:rPr>
        <w:t>、公告发布</w:t>
      </w:r>
    </w:p>
    <w:p>
      <w:pPr>
        <w:spacing w:line="360" w:lineRule="auto"/>
        <w:ind w:firstLine="420" w:firstLineChars="200"/>
        <w:rPr>
          <w:rFonts w:hint="eastAsia" w:ascii="宋体" w:hAnsi="宋体" w:cs="宋体"/>
          <w:szCs w:val="21"/>
        </w:rPr>
      </w:pPr>
      <w:r>
        <w:rPr>
          <w:rFonts w:hint="eastAsia" w:ascii="宋体" w:hAnsi="宋体" w:cs="宋体"/>
          <w:szCs w:val="21"/>
        </w:rPr>
        <w:t>本项目询价公告和成交公示在</w:t>
      </w:r>
      <w:r>
        <w:rPr>
          <w:rFonts w:hint="eastAsia" w:ascii="宋体" w:hAnsi="宋体" w:cs="宋体"/>
          <w:szCs w:val="21"/>
          <w:u w:val="single"/>
        </w:rPr>
        <w:t xml:space="preserve">  广西交通技师学院官网  </w:t>
      </w:r>
      <w:r>
        <w:rPr>
          <w:rFonts w:hint="eastAsia" w:ascii="宋体" w:hAnsi="宋体" w:cs="宋体"/>
          <w:szCs w:val="21"/>
        </w:rPr>
        <w:t>上发布。</w:t>
      </w:r>
    </w:p>
    <w:p>
      <w:pPr>
        <w:numPr>
          <w:numId w:val="0"/>
        </w:numPr>
        <w:spacing w:line="360" w:lineRule="auto"/>
        <w:ind w:firstLine="241" w:firstLineChars="100"/>
        <w:rPr>
          <w:rFonts w:hint="eastAsia" w:ascii="宋体" w:hAnsi="宋体" w:eastAsia="宋体" w:cs="宋体"/>
          <w:b/>
          <w:sz w:val="24"/>
        </w:rPr>
      </w:pPr>
      <w:r>
        <w:rPr>
          <w:rFonts w:hint="eastAsia" w:ascii="宋体" w:hAnsi="宋体" w:eastAsia="宋体" w:cs="宋体"/>
          <w:b/>
          <w:sz w:val="24"/>
          <w:lang w:val="en-US" w:eastAsia="zh-CN"/>
        </w:rPr>
        <w:t>八、</w:t>
      </w:r>
      <w:r>
        <w:rPr>
          <w:rFonts w:hint="eastAsia" w:ascii="宋体" w:hAnsi="宋体" w:eastAsia="宋体" w:cs="宋体"/>
          <w:b/>
          <w:sz w:val="24"/>
        </w:rPr>
        <w:t>凡对本次采购提出询问，请按以下方式联系</w:t>
      </w:r>
    </w:p>
    <w:p>
      <w:pPr>
        <w:spacing w:line="360" w:lineRule="auto"/>
        <w:ind w:firstLine="420" w:firstLineChars="200"/>
        <w:rPr>
          <w:rFonts w:hint="eastAsia" w:ascii="宋体" w:hAnsi="宋体" w:cs="宋体"/>
          <w:szCs w:val="21"/>
        </w:rPr>
      </w:pPr>
      <w:r>
        <w:rPr>
          <w:rFonts w:hint="eastAsia" w:ascii="宋体" w:hAnsi="宋体" w:cs="宋体"/>
          <w:szCs w:val="21"/>
        </w:rPr>
        <w:t xml:space="preserve">采购人（全称）：广西交通技师学院     地址：南宁市兴宁区邕武路9号 </w:t>
      </w:r>
    </w:p>
    <w:p>
      <w:pPr>
        <w:spacing w:line="360" w:lineRule="auto"/>
        <w:ind w:firstLine="420" w:firstLineChars="200"/>
        <w:rPr>
          <w:rFonts w:hint="eastAsia" w:ascii="宋体" w:hAnsi="宋体" w:cs="宋体"/>
          <w:szCs w:val="21"/>
        </w:rPr>
      </w:pPr>
      <w:r>
        <w:rPr>
          <w:rFonts w:hint="eastAsia" w:ascii="宋体" w:hAnsi="宋体" w:cs="宋体"/>
          <w:szCs w:val="21"/>
        </w:rPr>
        <w:t xml:space="preserve">联系人：陆老师 联系电话：0771-3393443  </w:t>
      </w:r>
    </w:p>
    <w:p>
      <w:pPr>
        <w:spacing w:line="360" w:lineRule="auto"/>
        <w:ind w:firstLine="420" w:firstLineChars="200"/>
        <w:rPr>
          <w:rFonts w:hint="eastAsia" w:ascii="宋体" w:hAnsi="宋体" w:cs="宋体"/>
          <w:szCs w:val="21"/>
        </w:rPr>
      </w:pPr>
      <w:r>
        <w:rPr>
          <w:rFonts w:hint="eastAsia" w:ascii="宋体" w:hAnsi="宋体" w:cs="宋体"/>
          <w:szCs w:val="21"/>
        </w:rPr>
        <w:t>纪检监督电话：0771-3851601</w:t>
      </w:r>
      <w:bookmarkStart w:id="91" w:name="_GoBack"/>
      <w:bookmarkEnd w:id="91"/>
    </w:p>
    <w:p>
      <w:pPr>
        <w:pStyle w:val="13"/>
        <w:rPr>
          <w:rFonts w:hint="eastAsia"/>
        </w:rPr>
      </w:pPr>
    </w:p>
    <w:bookmarkEnd w:id="24"/>
    <w:bookmarkEnd w:id="43"/>
    <w:bookmarkEnd w:id="44"/>
    <w:bookmarkEnd w:id="45"/>
    <w:bookmarkEnd w:id="46"/>
    <w:bookmarkEnd w:id="47"/>
    <w:bookmarkEnd w:id="48"/>
    <w:p>
      <w:pPr>
        <w:spacing w:line="360" w:lineRule="auto"/>
        <w:ind w:firstLine="7560" w:firstLineChars="3600"/>
        <w:rPr>
          <w:rFonts w:ascii="宋体" w:hAnsi="宋体"/>
          <w:szCs w:val="21"/>
        </w:rPr>
      </w:pPr>
      <w:bookmarkStart w:id="49" w:name="PO_3000001868_PM031_2"/>
      <w:r>
        <w:rPr>
          <w:rFonts w:hint="eastAsia" w:ascii="宋体" w:hAnsi="宋体"/>
          <w:szCs w:val="21"/>
        </w:rPr>
        <w:t>广西</w:t>
      </w:r>
      <w:bookmarkEnd w:id="49"/>
      <w:r>
        <w:rPr>
          <w:rFonts w:hint="eastAsia" w:ascii="宋体" w:hAnsi="宋体"/>
          <w:szCs w:val="21"/>
        </w:rPr>
        <w:t>交通技师学院</w:t>
      </w:r>
    </w:p>
    <w:p>
      <w:pPr>
        <w:spacing w:line="360" w:lineRule="auto"/>
        <w:ind w:firstLine="420" w:firstLineChars="200"/>
        <w:jc w:val="center"/>
        <w:rPr>
          <w:rFonts w:hint="eastAsia" w:ascii="宋体" w:hAnsi="宋体"/>
          <w:szCs w:val="21"/>
        </w:rPr>
      </w:pPr>
      <w:r>
        <w:rPr>
          <w:rFonts w:hint="eastAsia" w:ascii="宋体" w:hAnsi="宋体"/>
          <w:szCs w:val="21"/>
        </w:rPr>
        <w:t xml:space="preserve">                                                             2026年6月1</w:t>
      </w:r>
      <w:r>
        <w:rPr>
          <w:rFonts w:hint="eastAsia" w:ascii="宋体" w:hAnsi="宋体"/>
          <w:szCs w:val="21"/>
          <w:lang w:val="en-US" w:eastAsia="zh-CN"/>
        </w:rPr>
        <w:t>7</w:t>
      </w:r>
      <w:r>
        <w:rPr>
          <w:rFonts w:hint="eastAsia" w:ascii="宋体" w:hAnsi="宋体"/>
          <w:szCs w:val="21"/>
        </w:rPr>
        <w:t>日</w:t>
      </w:r>
    </w:p>
    <w:p>
      <w:pPr>
        <w:spacing w:line="400" w:lineRule="exact"/>
        <w:rPr>
          <w:rFonts w:hint="eastAsia"/>
        </w:rPr>
      </w:pPr>
      <w:bookmarkStart w:id="50" w:name="_Toc74323457"/>
      <w:bookmarkStart w:id="51" w:name="_Toc15214"/>
      <w:bookmarkStart w:id="52" w:name="_Toc27939"/>
      <w:bookmarkStart w:id="53" w:name="_Toc31178"/>
      <w:bookmarkStart w:id="54" w:name="_Toc29310"/>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520" w:lineRule="exact"/>
        <w:ind w:firstLine="3092" w:firstLineChars="700"/>
        <w:rPr>
          <w:rFonts w:hint="eastAsia"/>
          <w:b/>
          <w:bCs/>
          <w:sz w:val="44"/>
          <w:szCs w:val="44"/>
        </w:rPr>
      </w:pPr>
      <w:r>
        <w:rPr>
          <w:rFonts w:hint="eastAsia"/>
          <w:b/>
          <w:bCs/>
          <w:sz w:val="44"/>
          <w:szCs w:val="44"/>
        </w:rPr>
        <w:t>第二章 供应商须知</w:t>
      </w:r>
      <w:bookmarkEnd w:id="50"/>
      <w:bookmarkEnd w:id="51"/>
      <w:bookmarkEnd w:id="52"/>
      <w:bookmarkEnd w:id="53"/>
      <w:bookmarkEnd w:id="54"/>
    </w:p>
    <w:p>
      <w:pPr>
        <w:spacing w:line="400" w:lineRule="exact"/>
        <w:jc w:val="center"/>
        <w:rPr>
          <w:rFonts w:hint="eastAsia" w:ascii="宋体" w:hAnsi="宋体"/>
          <w:b/>
          <w:sz w:val="32"/>
          <w:szCs w:val="32"/>
        </w:rPr>
      </w:pPr>
    </w:p>
    <w:tbl>
      <w:tblPr>
        <w:tblStyle w:val="30"/>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pPr>
              <w:spacing w:line="360" w:lineRule="auto"/>
              <w:jc w:val="center"/>
              <w:rPr>
                <w:rFonts w:hint="eastAsia" w:ascii="宋体" w:hAnsi="宋体" w:cs="宋体"/>
                <w:b/>
                <w:szCs w:val="21"/>
              </w:rPr>
            </w:pPr>
            <w:r>
              <w:rPr>
                <w:rFonts w:hint="eastAsia" w:ascii="宋体" w:hAnsi="宋体" w:cs="宋体"/>
                <w:b/>
                <w:szCs w:val="21"/>
              </w:rPr>
              <w:t>序号</w:t>
            </w:r>
          </w:p>
        </w:tc>
        <w:tc>
          <w:tcPr>
            <w:tcW w:w="7912" w:type="dxa"/>
          </w:tcPr>
          <w:p>
            <w:pPr>
              <w:spacing w:line="360" w:lineRule="auto"/>
              <w:jc w:val="center"/>
              <w:rPr>
                <w:rFonts w:hint="eastAsia" w:ascii="宋体" w:hAnsi="宋体" w:cs="宋体"/>
                <w:b/>
                <w:szCs w:val="21"/>
              </w:rPr>
            </w:pPr>
            <w:r>
              <w:rPr>
                <w:rFonts w:hint="eastAsia" w:ascii="宋体" w:hAnsi="宋体" w:cs="宋体"/>
                <w:b/>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7912" w:type="dxa"/>
            <w:vAlign w:val="center"/>
          </w:tcPr>
          <w:p>
            <w:pPr>
              <w:spacing w:line="360" w:lineRule="auto"/>
              <w:rPr>
                <w:rFonts w:hint="eastAsia" w:ascii="宋体" w:hAnsi="宋体"/>
                <w:szCs w:val="21"/>
              </w:rPr>
            </w:pPr>
            <w:r>
              <w:rPr>
                <w:rFonts w:hint="eastAsia" w:ascii="宋体" w:hAnsi="宋体" w:cs="宋体"/>
                <w:bCs/>
                <w:szCs w:val="21"/>
              </w:rPr>
              <w:t>1.供应商的资格条件</w:t>
            </w:r>
            <w:r>
              <w:rPr>
                <w:rFonts w:hint="eastAsia" w:ascii="宋体" w:hAnsi="宋体" w:cs="宋体"/>
                <w:szCs w:val="21"/>
              </w:rPr>
              <w:t>：详见采购公告</w:t>
            </w:r>
          </w:p>
          <w:p>
            <w:pPr>
              <w:spacing w:line="360" w:lineRule="auto"/>
              <w:rPr>
                <w:rFonts w:ascii="宋体" w:hAnsi="宋体" w:cs="宋体"/>
                <w:szCs w:val="21"/>
              </w:rPr>
            </w:pPr>
            <w:r>
              <w:rPr>
                <w:rFonts w:hint="eastAsia" w:ascii="宋体" w:hAnsi="宋体" w:cs="宋体"/>
                <w:szCs w:val="21"/>
              </w:rPr>
              <w:t>2.</w:t>
            </w:r>
            <w:r>
              <w:rPr>
                <w:rFonts w:hint="eastAsia" w:ascii="宋体" w:hAnsi="宋体" w:cs="宋体"/>
                <w:bCs/>
                <w:szCs w:val="21"/>
              </w:rPr>
              <w:t>供应商</w:t>
            </w:r>
            <w:r>
              <w:rPr>
                <w:rFonts w:hint="eastAsia" w:ascii="宋体" w:hAnsi="宋体" w:cs="宋体"/>
                <w:szCs w:val="21"/>
              </w:rPr>
              <w:t>出现下列情形的，不得参加采购活动：</w:t>
            </w:r>
          </w:p>
          <w:p>
            <w:pPr>
              <w:spacing w:line="360" w:lineRule="auto"/>
              <w:ind w:firstLine="210" w:firstLineChars="100"/>
              <w:rPr>
                <w:rFonts w:hint="eastAsia" w:ascii="宋体" w:hAnsi="宋体" w:cs="宋体"/>
                <w:szCs w:val="21"/>
              </w:rPr>
            </w:pPr>
            <w:r>
              <w:rPr>
                <w:rFonts w:hint="eastAsia" w:ascii="宋体" w:hAnsi="宋体" w:cs="宋体"/>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本次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7912" w:type="dxa"/>
            <w:vAlign w:val="center"/>
          </w:tcPr>
          <w:p>
            <w:pPr>
              <w:spacing w:line="360" w:lineRule="auto"/>
              <w:rPr>
                <w:rFonts w:hint="eastAsia" w:ascii="宋体" w:hAnsi="宋体" w:cs="宋体"/>
                <w:szCs w:val="21"/>
              </w:rPr>
            </w:pPr>
            <w:r>
              <w:rPr>
                <w:rFonts w:hint="eastAsia" w:ascii="宋体" w:hAnsi="宋体" w:cs="宋体"/>
                <w:szCs w:val="21"/>
              </w:rPr>
              <w:t>是否接受联合体竞标: 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cs="宋体"/>
                <w:szCs w:val="21"/>
              </w:rPr>
            </w:pPr>
            <w:r>
              <w:rPr>
                <w:rFonts w:hint="eastAsia" w:ascii="宋体" w:hAnsi="宋体" w:cs="宋体"/>
                <w:szCs w:val="21"/>
              </w:rPr>
              <w:t>3</w:t>
            </w:r>
          </w:p>
        </w:tc>
        <w:tc>
          <w:tcPr>
            <w:tcW w:w="7912" w:type="dxa"/>
            <w:vAlign w:val="center"/>
          </w:tcPr>
          <w:p>
            <w:pPr>
              <w:pStyle w:val="11"/>
              <w:spacing w:line="360" w:lineRule="auto"/>
              <w:rPr>
                <w:rFonts w:hint="eastAsia" w:ascii="宋体" w:hAnsi="宋体"/>
                <w:szCs w:val="21"/>
              </w:rPr>
            </w:pPr>
            <w:r>
              <w:rPr>
                <w:rFonts w:hint="eastAsia" w:ascii="MS Mincho" w:hAnsi="MS Mincho" w:eastAsia="MS Mincho" w:cs="MS Mincho"/>
                <w:sz w:val="24"/>
                <w:szCs w:val="21"/>
              </w:rPr>
              <w:t>☑</w:t>
            </w:r>
            <w:r>
              <w:rPr>
                <w:rFonts w:hint="eastAsia" w:ascii="宋体" w:hAnsi="宋体"/>
                <w:szCs w:val="21"/>
              </w:rPr>
              <w:t>不允许分包、转包</w:t>
            </w:r>
          </w:p>
          <w:p>
            <w:pPr>
              <w:pStyle w:val="11"/>
              <w:spacing w:line="360" w:lineRule="auto"/>
              <w:rPr>
                <w:rFonts w:hint="eastAsia" w:ascii="宋体" w:hAnsi="宋体" w:cs="宋体"/>
                <w:szCs w:val="21"/>
              </w:rPr>
            </w:pPr>
            <w:r>
              <w:rPr>
                <w:rFonts w:hint="eastAsia" w:ascii="宋体" w:hAnsi="宋体"/>
                <w:szCs w:val="21"/>
              </w:rPr>
              <w:t>□允许分包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szCs w:val="21"/>
              </w:rPr>
            </w:pPr>
            <w:r>
              <w:rPr>
                <w:rFonts w:hint="eastAsia" w:ascii="宋体" w:hAnsi="宋体" w:cs="宋体"/>
                <w:szCs w:val="21"/>
              </w:rPr>
              <w:t>4.1</w:t>
            </w:r>
          </w:p>
        </w:tc>
        <w:tc>
          <w:tcPr>
            <w:tcW w:w="7912" w:type="dxa"/>
            <w:vAlign w:val="center"/>
          </w:tcPr>
          <w:p>
            <w:pPr>
              <w:snapToGrid w:val="0"/>
              <w:spacing w:line="360" w:lineRule="auto"/>
              <w:jc w:val="left"/>
              <w:rPr>
                <w:rFonts w:hint="eastAsia" w:ascii="宋体" w:hAnsi="宋体" w:cs="宋体"/>
                <w:b/>
                <w:szCs w:val="21"/>
              </w:rPr>
            </w:pPr>
            <w:r>
              <w:rPr>
                <w:rFonts w:hint="eastAsia" w:ascii="宋体" w:hAnsi="宋体" w:cs="宋体"/>
                <w:b/>
                <w:szCs w:val="21"/>
              </w:rPr>
              <w:t>资格证明文件（详见第五章响应文件格式）</w:t>
            </w:r>
          </w:p>
          <w:p>
            <w:pPr>
              <w:pStyle w:val="11"/>
              <w:spacing w:line="360" w:lineRule="auto"/>
              <w:rPr>
                <w:rFonts w:hint="eastAsia" w:ascii="宋体" w:hAnsi="宋体"/>
                <w:szCs w:val="21"/>
              </w:rPr>
            </w:pPr>
            <w:r>
              <w:rPr>
                <w:rFonts w:hint="eastAsia" w:ascii="宋体" w:hAnsi="宋体" w:cs="宋体"/>
                <w:szCs w:val="21"/>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pPr>
              <w:spacing w:line="360" w:lineRule="auto"/>
              <w:contextualSpacing/>
              <w:jc w:val="left"/>
              <w:rPr>
                <w:rFonts w:hint="eastAsia" w:ascii="宋体" w:hAnsi="宋体" w:cs="宋体"/>
                <w:szCs w:val="21"/>
              </w:rPr>
            </w:pPr>
            <w:r>
              <w:rPr>
                <w:rFonts w:hint="eastAsia" w:ascii="宋体" w:hAnsi="宋体" w:cs="宋体"/>
                <w:szCs w:val="21"/>
              </w:rPr>
              <w:t>2. 供应商依法缴纳税收的相关材料（</w:t>
            </w:r>
            <w:r>
              <w:rPr>
                <w:rFonts w:hint="eastAsia" w:ascii="宋体" w:hAnsi="宋体" w:cs="宋体"/>
                <w:szCs w:val="21"/>
                <w:u w:val="single"/>
              </w:rPr>
              <w:t xml:space="preserve"> 2025年12月至首次响应文件提交截止时间前</w:t>
            </w:r>
            <w:r>
              <w:rPr>
                <w:rFonts w:hint="eastAsia" w:ascii="宋体" w:hAnsi="宋体" w:cs="宋体"/>
                <w:szCs w:val="21"/>
              </w:rPr>
              <w:t>任意连续</w:t>
            </w:r>
            <w:r>
              <w:rPr>
                <w:rFonts w:ascii="宋体" w:hAnsi="宋体" w:cs="宋体"/>
                <w:szCs w:val="21"/>
                <w:u w:val="single"/>
              </w:rPr>
              <w:t>3</w:t>
            </w:r>
            <w:r>
              <w:rPr>
                <w:rFonts w:hint="eastAsia" w:ascii="宋体" w:hAnsi="宋体" w:cs="宋体"/>
                <w:szCs w:val="21"/>
              </w:rPr>
              <w:t>个月的依法缴纳税收的凭据复印件；</w:t>
            </w:r>
            <w:r>
              <w:rPr>
                <w:rFonts w:hint="eastAsia"/>
              </w:rPr>
              <w:t>依法免税的，必须提供相应文件证明其依法免税。</w:t>
            </w:r>
            <w:r>
              <w:rPr>
                <w:rFonts w:hint="eastAsia" w:ascii="宋体" w:hAnsi="宋体" w:cs="宋体"/>
                <w:szCs w:val="21"/>
              </w:rPr>
              <w:t>从</w:t>
            </w:r>
            <w:r>
              <w:rPr>
                <w:szCs w:val="21"/>
              </w:rPr>
              <w:t>成立</w:t>
            </w:r>
            <w:r>
              <w:rPr>
                <w:rFonts w:hint="eastAsia"/>
                <w:szCs w:val="21"/>
              </w:rPr>
              <w:t>之日起</w:t>
            </w:r>
            <w:r>
              <w:rPr>
                <w:rFonts w:hint="eastAsia" w:ascii="宋体" w:hAnsi="宋体" w:cs="宋体"/>
                <w:szCs w:val="21"/>
              </w:rPr>
              <w:t>到响应文件提交截止时间止不足要求月数的，只需提供从</w:t>
            </w:r>
            <w:r>
              <w:rPr>
                <w:szCs w:val="21"/>
              </w:rPr>
              <w:t>成立</w:t>
            </w:r>
            <w:r>
              <w:rPr>
                <w:rFonts w:hint="eastAsia"/>
                <w:szCs w:val="21"/>
              </w:rPr>
              <w:t>之日起</w:t>
            </w:r>
            <w:r>
              <w:rPr>
                <w:rFonts w:hint="eastAsia" w:ascii="宋体" w:hAnsi="宋体" w:cs="宋体"/>
                <w:szCs w:val="21"/>
              </w:rPr>
              <w:t>的依法缴纳税收</w:t>
            </w:r>
            <w:r>
              <w:rPr>
                <w:rFonts w:hint="eastAsia"/>
              </w:rPr>
              <w:t>相应证明文件</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pPr>
              <w:spacing w:line="360" w:lineRule="auto"/>
              <w:contextualSpacing/>
              <w:jc w:val="left"/>
              <w:rPr>
                <w:rFonts w:hint="eastAsia" w:ascii="宋体" w:hAnsi="宋体" w:cs="宋体"/>
                <w:szCs w:val="21"/>
              </w:rPr>
            </w:pPr>
            <w:r>
              <w:rPr>
                <w:rFonts w:hint="eastAsia" w:ascii="宋体" w:hAnsi="宋体" w:cs="宋体"/>
                <w:szCs w:val="21"/>
              </w:rPr>
              <w:t>3. 供应商依法缴纳社会保障资金的相关材料[</w:t>
            </w:r>
            <w:r>
              <w:rPr>
                <w:rFonts w:hint="eastAsia" w:ascii="宋体" w:hAnsi="宋体" w:cs="宋体"/>
                <w:szCs w:val="21"/>
                <w:u w:val="single"/>
              </w:rPr>
              <w:t xml:space="preserve"> 2025年12月至首次响应文件提交截止时间前</w:t>
            </w:r>
            <w:r>
              <w:rPr>
                <w:rFonts w:hint="eastAsia" w:ascii="宋体" w:hAnsi="宋体" w:cs="宋体"/>
                <w:szCs w:val="21"/>
              </w:rPr>
              <w:t>任意连续</w:t>
            </w:r>
            <w:r>
              <w:rPr>
                <w:rFonts w:ascii="宋体" w:hAnsi="宋体" w:cs="宋体"/>
                <w:szCs w:val="21"/>
                <w:u w:val="single"/>
              </w:rPr>
              <w:t>3</w:t>
            </w:r>
            <w:r>
              <w:rPr>
                <w:rFonts w:hint="eastAsia" w:ascii="宋体" w:hAnsi="宋体" w:cs="宋体"/>
                <w:szCs w:val="21"/>
              </w:rPr>
              <w:t>个月的依法缴纳社会保障资金的缴费凭证（专用收据或者社会保险缴纳清单）复印件；</w:t>
            </w:r>
            <w:r>
              <w:rPr>
                <w:rFonts w:hint="eastAsia"/>
              </w:rPr>
              <w:t>依法不需要缴纳社会保障资金的，必须提供相应文件证明不需要缴纳社会保障资金。</w:t>
            </w:r>
            <w:r>
              <w:rPr>
                <w:rFonts w:hint="eastAsia" w:ascii="宋体" w:hAnsi="宋体" w:cs="宋体"/>
                <w:szCs w:val="21"/>
              </w:rPr>
              <w:t>从</w:t>
            </w:r>
            <w:r>
              <w:rPr>
                <w:szCs w:val="21"/>
              </w:rPr>
              <w:t>成立</w:t>
            </w:r>
            <w:r>
              <w:rPr>
                <w:rFonts w:hint="eastAsia"/>
                <w:szCs w:val="21"/>
              </w:rPr>
              <w:t>之日起</w:t>
            </w:r>
            <w:r>
              <w:rPr>
                <w:rFonts w:hint="eastAsia" w:ascii="宋体" w:hAnsi="宋体" w:cs="宋体"/>
                <w:szCs w:val="21"/>
              </w:rPr>
              <w:t>到响应文件提交截止时间止不足要求月数的只需提供从</w:t>
            </w:r>
            <w:r>
              <w:rPr>
                <w:szCs w:val="21"/>
              </w:rPr>
              <w:t>成立</w:t>
            </w:r>
            <w:r>
              <w:rPr>
                <w:rFonts w:hint="eastAsia"/>
                <w:szCs w:val="21"/>
              </w:rPr>
              <w:t>之日起</w:t>
            </w:r>
            <w:r>
              <w:rPr>
                <w:rFonts w:hint="eastAsia" w:ascii="宋体" w:hAnsi="宋体" w:cs="宋体"/>
                <w:szCs w:val="21"/>
              </w:rPr>
              <w:t>的依法缴纳社会保障资金的</w:t>
            </w:r>
            <w:r>
              <w:rPr>
                <w:rFonts w:hint="eastAsia"/>
              </w:rPr>
              <w:t>相应证明文件</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pPr>
              <w:snapToGrid w:val="0"/>
              <w:spacing w:line="360" w:lineRule="auto"/>
              <w:jc w:val="left"/>
              <w:rPr>
                <w:rFonts w:hint="eastAsia" w:ascii="宋体" w:hAnsi="宋体" w:cs="宋体"/>
                <w:szCs w:val="21"/>
              </w:rPr>
            </w:pPr>
            <w:r>
              <w:rPr>
                <w:rFonts w:hint="eastAsia" w:ascii="宋体" w:hAnsi="宋体" w:cs="宋体"/>
                <w:szCs w:val="21"/>
              </w:rPr>
              <w:t>4.除采购文件规定必须提供以外，供应商认为需要提供的其他证明材料；</w:t>
            </w:r>
          </w:p>
          <w:p>
            <w:pPr>
              <w:snapToGrid w:val="0"/>
              <w:spacing w:line="360" w:lineRule="auto"/>
              <w:jc w:val="left"/>
              <w:rPr>
                <w:rFonts w:hint="eastAsia" w:ascii="宋体" w:hAnsi="宋体" w:cs="宋体"/>
                <w:b/>
                <w:szCs w:val="21"/>
              </w:rPr>
            </w:pPr>
            <w:r>
              <w:rPr>
                <w:rFonts w:hint="eastAsia" w:ascii="宋体" w:hAnsi="宋体" w:cs="宋体"/>
                <w:b/>
                <w:szCs w:val="21"/>
              </w:rPr>
              <w:t>注：</w:t>
            </w:r>
          </w:p>
          <w:p>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1.以上标明“必须提供”的材料属于复印件的，必须加盖公</w:t>
            </w:r>
            <w:r>
              <w:rPr>
                <w:rFonts w:hint="eastAsia"/>
                <w:b/>
              </w:rPr>
              <w:t>章</w:t>
            </w:r>
            <w:r>
              <w:rPr>
                <w:rFonts w:hint="eastAsia" w:ascii="宋体" w:hAnsi="宋体" w:cs="宋体"/>
                <w:b/>
                <w:szCs w:val="21"/>
              </w:rPr>
              <w:t>，否则响应文件按无效处理。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szCs w:val="21"/>
              </w:rPr>
            </w:pPr>
            <w:r>
              <w:rPr>
                <w:rFonts w:hint="eastAsia" w:ascii="宋体" w:hAnsi="宋体" w:cs="宋体"/>
                <w:szCs w:val="21"/>
              </w:rPr>
              <w:t>4.2</w:t>
            </w:r>
          </w:p>
        </w:tc>
        <w:tc>
          <w:tcPr>
            <w:tcW w:w="7912" w:type="dxa"/>
            <w:vAlign w:val="center"/>
          </w:tcPr>
          <w:p>
            <w:pPr>
              <w:spacing w:line="360" w:lineRule="auto"/>
              <w:rPr>
                <w:rFonts w:hint="eastAsia" w:ascii="宋体" w:hAnsi="宋体" w:cs="宋体"/>
                <w:b/>
                <w:bCs/>
                <w:szCs w:val="21"/>
              </w:rPr>
            </w:pPr>
            <w:r>
              <w:rPr>
                <w:rFonts w:hint="eastAsia" w:ascii="宋体" w:hAnsi="宋体" w:cs="宋体"/>
                <w:b/>
                <w:bCs/>
                <w:szCs w:val="21"/>
              </w:rPr>
              <w:t>报价文件（详见第五章响应文件格式）</w:t>
            </w:r>
          </w:p>
          <w:p>
            <w:pPr>
              <w:snapToGrid w:val="0"/>
              <w:spacing w:line="360" w:lineRule="auto"/>
              <w:jc w:val="left"/>
              <w:rPr>
                <w:rFonts w:hint="eastAsia" w:ascii="宋体" w:hAnsi="宋体" w:cs="宋体"/>
                <w:b/>
                <w:szCs w:val="21"/>
              </w:rPr>
            </w:pPr>
            <w:r>
              <w:rPr>
                <w:rFonts w:hint="eastAsia" w:ascii="宋体" w:hAnsi="宋体" w:cs="宋体"/>
                <w:szCs w:val="21"/>
              </w:rPr>
              <w:t>采购报价表（格式后附）；（</w:t>
            </w:r>
            <w:r>
              <w:rPr>
                <w:rFonts w:hint="eastAsia" w:ascii="宋体" w:hAnsi="宋体" w:cs="宋体"/>
                <w:b/>
                <w:szCs w:val="21"/>
              </w:rPr>
              <w:t>必须提供，否则响应文件按无效响应处理</w:t>
            </w:r>
            <w:r>
              <w:rPr>
                <w:rFonts w:hint="eastAsia" w:ascii="宋体" w:hAnsi="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szCs w:val="21"/>
              </w:rPr>
            </w:pPr>
            <w:r>
              <w:rPr>
                <w:rFonts w:hint="eastAsia" w:ascii="宋体" w:hAnsi="宋体" w:cs="宋体"/>
                <w:szCs w:val="21"/>
              </w:rPr>
              <w:t>4.3</w:t>
            </w:r>
          </w:p>
        </w:tc>
        <w:tc>
          <w:tcPr>
            <w:tcW w:w="7912" w:type="dxa"/>
            <w:vAlign w:val="center"/>
          </w:tcPr>
          <w:p>
            <w:pPr>
              <w:spacing w:line="360" w:lineRule="auto"/>
              <w:rPr>
                <w:rFonts w:hint="eastAsia" w:ascii="宋体" w:hAnsi="宋体" w:cs="宋体"/>
                <w:b/>
                <w:bCs/>
                <w:szCs w:val="21"/>
              </w:rPr>
            </w:pPr>
            <w:r>
              <w:rPr>
                <w:rFonts w:hint="eastAsia" w:ascii="宋体" w:hAnsi="宋体" w:cs="宋体"/>
                <w:b/>
                <w:bCs/>
                <w:szCs w:val="21"/>
              </w:rPr>
              <w:t>商务技术文件（详见第五章响应文件格式）</w:t>
            </w:r>
          </w:p>
          <w:p>
            <w:pPr>
              <w:spacing w:line="360" w:lineRule="auto"/>
              <w:jc w:val="left"/>
              <w:rPr>
                <w:rFonts w:hint="eastAsia" w:ascii="宋体" w:hAnsi="宋体" w:cs="宋体"/>
                <w:szCs w:val="21"/>
              </w:rPr>
            </w:pPr>
            <w:r>
              <w:rPr>
                <w:rFonts w:hint="eastAsia" w:ascii="宋体" w:hAnsi="宋体" w:cs="宋体"/>
                <w:szCs w:val="21"/>
              </w:rPr>
              <w:t>1.法定代表人身份证明书及法定代表人有效身份证正反面复印件（格式后附）；（</w:t>
            </w:r>
            <w:r>
              <w:rPr>
                <w:rFonts w:hint="eastAsia" w:ascii="宋体" w:hAnsi="宋体" w:cs="宋体"/>
                <w:b/>
                <w:bCs/>
                <w:szCs w:val="21"/>
              </w:rPr>
              <w:t>除自然人竞标外</w:t>
            </w:r>
            <w:r>
              <w:rPr>
                <w:rFonts w:hint="eastAsia" w:ascii="宋体" w:hAnsi="宋体" w:cs="宋体"/>
                <w:b/>
                <w:szCs w:val="21"/>
              </w:rPr>
              <w:t>必须提供，否则响应文件按无效响应处理</w:t>
            </w:r>
            <w:r>
              <w:rPr>
                <w:rFonts w:hint="eastAsia" w:ascii="宋体" w:hAnsi="宋体" w:cs="宋体"/>
                <w:szCs w:val="21"/>
              </w:rPr>
              <w:t>）</w:t>
            </w:r>
          </w:p>
          <w:p>
            <w:pPr>
              <w:spacing w:line="360" w:lineRule="auto"/>
              <w:rPr>
                <w:rFonts w:hint="eastAsia" w:ascii="宋体" w:hAnsi="宋体" w:cs="宋体"/>
                <w:b/>
                <w:szCs w:val="21"/>
              </w:rPr>
            </w:pPr>
            <w:r>
              <w:rPr>
                <w:rFonts w:hint="eastAsia" w:ascii="宋体" w:hAnsi="宋体" w:cs="宋体"/>
                <w:szCs w:val="21"/>
              </w:rPr>
              <w:t>2.授权委托书及委托代理人有效身份证正反面复印件（格式后附）；（</w:t>
            </w:r>
            <w:r>
              <w:rPr>
                <w:rFonts w:hint="eastAsia" w:ascii="宋体" w:hAnsi="宋体" w:cs="宋体"/>
                <w:b/>
                <w:szCs w:val="21"/>
              </w:rPr>
              <w:t>委托时必须提供，否则响应文件按无效响应处理</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3.商务要求偏离表（格式后附）；（</w:t>
            </w:r>
            <w:r>
              <w:rPr>
                <w:rFonts w:hint="eastAsia" w:ascii="宋体" w:hAnsi="宋体" w:cs="宋体"/>
                <w:b/>
                <w:szCs w:val="21"/>
              </w:rPr>
              <w:t>必须提供，否则响应文件按无效响应处理</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4.技术要求偏离表（格式后附）；</w:t>
            </w:r>
            <w:bookmarkStart w:id="55" w:name="OLE_LINK13"/>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bookmarkEnd w:id="55"/>
          </w:p>
          <w:p>
            <w:pPr>
              <w:spacing w:line="360" w:lineRule="auto"/>
              <w:rPr>
                <w:rFonts w:hint="eastAsia" w:ascii="宋体" w:hAnsi="宋体" w:cs="宋体"/>
                <w:szCs w:val="21"/>
              </w:rPr>
            </w:pPr>
            <w:r>
              <w:rPr>
                <w:rFonts w:hint="eastAsia" w:ascii="宋体" w:hAnsi="宋体" w:cs="宋体"/>
                <w:szCs w:val="21"/>
              </w:rPr>
              <w:t>5.项目作业人员一览表（格式自拟）； （</w:t>
            </w:r>
            <w:r>
              <w:rPr>
                <w:rFonts w:hint="eastAsia" w:ascii="宋体" w:hAnsi="宋体" w:cs="宋体"/>
                <w:b/>
                <w:szCs w:val="21"/>
              </w:rPr>
              <w:t>必须提供每一名作业人员投标截止日前任意连续3个月缴纳社保的缴费证明，否则响应文件按无效响应处理</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6.对项目的理解和认识；</w:t>
            </w:r>
          </w:p>
          <w:p>
            <w:pPr>
              <w:spacing w:line="360" w:lineRule="auto"/>
              <w:rPr>
                <w:rFonts w:hint="eastAsia" w:ascii="宋体" w:hAnsi="宋体" w:cs="宋体"/>
                <w:szCs w:val="21"/>
              </w:rPr>
            </w:pPr>
            <w:r>
              <w:rPr>
                <w:rFonts w:hint="eastAsia" w:ascii="宋体" w:hAnsi="宋体" w:cs="宋体"/>
                <w:szCs w:val="21"/>
              </w:rPr>
              <w:t>7.项目实施方案；</w:t>
            </w:r>
          </w:p>
          <w:p>
            <w:pPr>
              <w:spacing w:line="360" w:lineRule="auto"/>
              <w:rPr>
                <w:rFonts w:hint="eastAsia" w:ascii="宋体" w:hAnsi="宋体" w:cs="宋体"/>
                <w:szCs w:val="21"/>
              </w:rPr>
            </w:pPr>
            <w:r>
              <w:rPr>
                <w:rFonts w:hint="eastAsia" w:ascii="宋体" w:hAnsi="宋体" w:cs="宋体"/>
                <w:szCs w:val="21"/>
              </w:rPr>
              <w:t>8.实施计划安排；</w:t>
            </w:r>
          </w:p>
          <w:p>
            <w:pPr>
              <w:spacing w:line="360" w:lineRule="auto"/>
              <w:rPr>
                <w:rFonts w:hint="eastAsia" w:ascii="宋体" w:hAnsi="宋体" w:cs="宋体"/>
                <w:szCs w:val="21"/>
              </w:rPr>
            </w:pPr>
            <w:r>
              <w:rPr>
                <w:rFonts w:hint="eastAsia" w:ascii="宋体" w:hAnsi="宋体" w:cs="宋体"/>
                <w:szCs w:val="21"/>
              </w:rPr>
              <w:t>9.业绩；</w:t>
            </w:r>
          </w:p>
          <w:p>
            <w:pPr>
              <w:spacing w:line="360" w:lineRule="auto"/>
              <w:rPr>
                <w:rFonts w:hint="eastAsia" w:ascii="宋体" w:hAnsi="宋体" w:cs="宋体"/>
                <w:szCs w:val="21"/>
              </w:rPr>
            </w:pPr>
            <w:r>
              <w:rPr>
                <w:rFonts w:hint="eastAsia" w:ascii="宋体" w:hAnsi="宋体" w:cs="宋体"/>
                <w:szCs w:val="21"/>
              </w:rPr>
              <w:t>10.信誉。</w:t>
            </w:r>
          </w:p>
          <w:p>
            <w:pPr>
              <w:snapToGrid w:val="0"/>
              <w:spacing w:line="360" w:lineRule="auto"/>
              <w:jc w:val="left"/>
              <w:rPr>
                <w:rFonts w:hint="eastAsia" w:ascii="宋体" w:hAnsi="宋体" w:cs="宋体"/>
                <w:b/>
                <w:szCs w:val="21"/>
              </w:rPr>
            </w:pPr>
            <w:r>
              <w:rPr>
                <w:rFonts w:hint="eastAsia" w:ascii="宋体" w:hAnsi="宋体" w:cs="宋体"/>
                <w:b/>
                <w:szCs w:val="21"/>
              </w:rPr>
              <w:t>注：以上标明“必须提供”的材料属于复印件的，必须加盖公</w:t>
            </w:r>
            <w:r>
              <w:rPr>
                <w:rFonts w:hint="eastAsia" w:ascii="宋体" w:hAnsi="宋体"/>
                <w:b/>
                <w:bCs/>
                <w:szCs w:val="21"/>
              </w:rPr>
              <w:t>章</w:t>
            </w:r>
            <w:r>
              <w:rPr>
                <w:rFonts w:hint="eastAsia" w:ascii="宋体" w:hAnsi="宋体" w:cs="宋体"/>
                <w:b/>
                <w:szCs w:val="21"/>
              </w:rPr>
              <w:t>，否则响应文件按无效响应处理。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cs="宋体"/>
                <w:szCs w:val="21"/>
              </w:rPr>
            </w:pPr>
            <w:r>
              <w:rPr>
                <w:rFonts w:hint="eastAsia" w:ascii="宋体" w:hAnsi="宋体" w:cs="宋体"/>
                <w:szCs w:val="21"/>
              </w:rPr>
              <w:t>5</w:t>
            </w:r>
          </w:p>
        </w:tc>
        <w:tc>
          <w:tcPr>
            <w:tcW w:w="7912" w:type="dxa"/>
            <w:vAlign w:val="center"/>
          </w:tcPr>
          <w:p>
            <w:pPr>
              <w:adjustRightInd w:val="0"/>
              <w:snapToGrid w:val="0"/>
              <w:ind w:firstLine="420" w:firstLineChars="200"/>
              <w:rPr>
                <w:rFonts w:hint="eastAsia" w:ascii="宋体" w:hAnsi="宋体" w:cs="宋体"/>
                <w:szCs w:val="21"/>
              </w:rPr>
            </w:pPr>
            <w:r>
              <w:rPr>
                <w:rFonts w:hint="eastAsia" w:ascii="宋体" w:hAnsi="宋体" w:cs="宋体"/>
                <w:szCs w:val="21"/>
              </w:rPr>
              <w:t>采购报价是履行合同的最终价格，报价已包括了完成本项目服务工作所需的人员成本、劳务费、技术服务费、管理、交通、通讯、保险、利润、法律法规、政策性文件规定及合同包含的应有风险、责任等与本项目相关的所有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cs="宋体"/>
                <w:szCs w:val="21"/>
              </w:rPr>
            </w:pPr>
            <w:r>
              <w:rPr>
                <w:rFonts w:hint="eastAsia" w:ascii="宋体" w:hAnsi="宋体" w:cs="宋体"/>
                <w:szCs w:val="21"/>
              </w:rPr>
              <w:t>6</w:t>
            </w:r>
          </w:p>
        </w:tc>
        <w:tc>
          <w:tcPr>
            <w:tcW w:w="7912" w:type="dxa"/>
            <w:vAlign w:val="center"/>
          </w:tcPr>
          <w:p>
            <w:pPr>
              <w:spacing w:line="360" w:lineRule="auto"/>
              <w:rPr>
                <w:rFonts w:hint="eastAsia" w:ascii="宋体" w:hAnsi="宋体" w:cs="宋体"/>
                <w:szCs w:val="21"/>
              </w:rPr>
            </w:pPr>
            <w:r>
              <w:rPr>
                <w:rFonts w:hint="eastAsia" w:ascii="宋体" w:hAnsi="宋体"/>
                <w:szCs w:val="21"/>
              </w:rPr>
              <w:t>本项目不接受</w:t>
            </w:r>
            <w:r>
              <w:rPr>
                <w:rFonts w:hint="eastAsia"/>
              </w:rPr>
              <w:t>电子</w:t>
            </w:r>
            <w:r>
              <w:rPr>
                <w:rFonts w:hint="eastAsia" w:ascii="宋体" w:hAnsi="宋体"/>
                <w:szCs w:val="21"/>
              </w:rPr>
              <w:t>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cs="宋体"/>
                <w:szCs w:val="21"/>
              </w:rPr>
            </w:pPr>
            <w:r>
              <w:rPr>
                <w:rFonts w:hint="eastAsia" w:ascii="宋体" w:hAnsi="宋体" w:cs="宋体"/>
                <w:szCs w:val="21"/>
              </w:rPr>
              <w:t>7</w:t>
            </w:r>
          </w:p>
        </w:tc>
        <w:tc>
          <w:tcPr>
            <w:tcW w:w="7912" w:type="dxa"/>
            <w:vAlign w:val="center"/>
          </w:tcPr>
          <w:p>
            <w:pPr>
              <w:spacing w:line="360" w:lineRule="auto"/>
              <w:contextualSpacing/>
              <w:jc w:val="left"/>
              <w:rPr>
                <w:rFonts w:hint="eastAsia" w:ascii="宋体" w:hAnsi="宋体" w:cs="宋体"/>
                <w:szCs w:val="21"/>
                <w:u w:val="single"/>
              </w:rPr>
            </w:pPr>
            <w:r>
              <w:rPr>
                <w:rFonts w:hint="eastAsia" w:ascii="宋体" w:hAnsi="宋体" w:cs="宋体"/>
                <w:szCs w:val="21"/>
              </w:rPr>
              <w:t>响应文件提交截止时间：详见采购公告。</w:t>
            </w:r>
          </w:p>
          <w:p>
            <w:pPr>
              <w:spacing w:line="360" w:lineRule="auto"/>
              <w:contextualSpacing/>
              <w:jc w:val="left"/>
              <w:rPr>
                <w:rFonts w:hint="eastAsia" w:ascii="宋体" w:hAnsi="宋体" w:cs="宋体"/>
                <w:szCs w:val="21"/>
              </w:rPr>
            </w:pPr>
            <w:r>
              <w:rPr>
                <w:rFonts w:hint="eastAsia" w:ascii="宋体" w:hAnsi="宋体" w:cs="宋体"/>
                <w:szCs w:val="21"/>
              </w:rPr>
              <w:t>响应文件提交地点：详见采购公告。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cs="宋体"/>
                <w:szCs w:val="21"/>
              </w:rPr>
            </w:pPr>
            <w:r>
              <w:rPr>
                <w:rFonts w:hint="eastAsia" w:ascii="宋体" w:hAnsi="宋体" w:cs="宋体"/>
                <w:szCs w:val="21"/>
              </w:rPr>
              <w:t>8</w:t>
            </w:r>
          </w:p>
        </w:tc>
        <w:tc>
          <w:tcPr>
            <w:tcW w:w="7912" w:type="dxa"/>
            <w:vAlign w:val="center"/>
          </w:tcPr>
          <w:p>
            <w:pPr>
              <w:snapToGrid w:val="0"/>
              <w:spacing w:line="360" w:lineRule="auto"/>
              <w:jc w:val="left"/>
              <w:rPr>
                <w:rFonts w:hint="eastAsia" w:ascii="宋体" w:hAnsi="宋体" w:cs="宋体"/>
                <w:szCs w:val="21"/>
                <w:u w:val="single"/>
              </w:rPr>
            </w:pPr>
            <w:r>
              <w:rPr>
                <w:rFonts w:hint="eastAsia" w:ascii="宋体" w:hAnsi="宋体" w:cs="宋体"/>
                <w:szCs w:val="21"/>
              </w:rPr>
              <w:t>评标小组的人数：</w:t>
            </w:r>
            <w:r>
              <w:rPr>
                <w:rFonts w:hint="eastAsia" w:ascii="宋体" w:hAnsi="宋体" w:cs="宋体"/>
                <w:szCs w:val="21"/>
                <w:u w:val="single"/>
              </w:rPr>
              <w:t xml:space="preserve"> </w:t>
            </w:r>
            <w:r>
              <w:rPr>
                <w:rFonts w:ascii="宋体" w:hAnsi="宋体" w:cs="宋体"/>
                <w:szCs w:val="21"/>
                <w:u w:val="single"/>
              </w:rPr>
              <w:t>3</w:t>
            </w:r>
            <w:r>
              <w:rPr>
                <w:rFonts w:hint="eastAsia" w:ascii="宋体" w:hAnsi="宋体" w:cs="宋体"/>
                <w:szCs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pPr>
              <w:spacing w:line="360" w:lineRule="auto"/>
              <w:jc w:val="center"/>
              <w:rPr>
                <w:rFonts w:ascii="宋体" w:hAnsi="宋体" w:cs="宋体"/>
                <w:szCs w:val="21"/>
              </w:rPr>
            </w:pPr>
            <w:r>
              <w:rPr>
                <w:rFonts w:hint="eastAsia" w:ascii="宋体" w:hAnsi="宋体" w:cs="宋体"/>
                <w:szCs w:val="21"/>
              </w:rPr>
              <w:t>9</w:t>
            </w:r>
          </w:p>
        </w:tc>
        <w:tc>
          <w:tcPr>
            <w:tcW w:w="7912" w:type="dxa"/>
            <w:vAlign w:val="center"/>
          </w:tcPr>
          <w:p>
            <w:pPr>
              <w:snapToGrid w:val="0"/>
              <w:spacing w:line="360" w:lineRule="auto"/>
              <w:rPr>
                <w:rFonts w:hint="eastAsia" w:ascii="宋体" w:hAnsi="宋体" w:cs="宋体"/>
                <w:szCs w:val="21"/>
              </w:rPr>
            </w:pPr>
            <w:r>
              <w:rPr>
                <w:rFonts w:hint="eastAsia" w:ascii="宋体" w:hAnsi="宋体" w:cs="宋体"/>
                <w:szCs w:val="21"/>
              </w:rPr>
              <w:t>商务要求评审中允许负偏离的条款数为</w:t>
            </w:r>
            <w:r>
              <w:rPr>
                <w:rFonts w:hint="eastAsia" w:ascii="宋体" w:hAnsi="宋体" w:cs="宋体"/>
                <w:szCs w:val="21"/>
                <w:u w:val="single"/>
              </w:rPr>
              <w:t xml:space="preserve"> </w:t>
            </w:r>
            <w:r>
              <w:rPr>
                <w:rFonts w:ascii="宋体" w:hAnsi="宋体" w:cs="宋体"/>
                <w:szCs w:val="21"/>
                <w:u w:val="single"/>
              </w:rPr>
              <w:t>0</w:t>
            </w:r>
            <w:r>
              <w:rPr>
                <w:rFonts w:hint="eastAsia" w:ascii="宋体" w:hAnsi="宋体" w:cs="宋体"/>
                <w:szCs w:val="21"/>
              </w:rPr>
              <w:t>项，</w:t>
            </w:r>
            <w:r>
              <w:rPr>
                <w:rFonts w:hint="eastAsia" w:hAnsi="宋体"/>
              </w:rPr>
              <w:t>（负偏离达到</w:t>
            </w:r>
            <w:r>
              <w:rPr>
                <w:rFonts w:hAnsi="宋体"/>
              </w:rPr>
              <w:t>1</w:t>
            </w:r>
            <w:r>
              <w:rPr>
                <w:rFonts w:hint="eastAsia" w:hAnsi="宋体"/>
              </w:rPr>
              <w:t>项或以上则投标无效）</w:t>
            </w:r>
            <w:r>
              <w:rPr>
                <w:rFonts w:hint="eastAsia" w:ascii="宋体" w:hAnsi="宋体" w:cs="宋体"/>
                <w:szCs w:val="21"/>
              </w:rPr>
              <w:t>。</w:t>
            </w:r>
          </w:p>
          <w:p>
            <w:pPr>
              <w:snapToGrid w:val="0"/>
              <w:spacing w:line="360" w:lineRule="auto"/>
              <w:rPr>
                <w:rFonts w:hint="eastAsia" w:ascii="宋体" w:hAnsi="宋体" w:cs="宋体"/>
                <w:szCs w:val="21"/>
              </w:rPr>
            </w:pPr>
            <w:r>
              <w:rPr>
                <w:rFonts w:hint="eastAsia" w:ascii="宋体" w:hAnsi="宋体" w:cs="宋体"/>
                <w:szCs w:val="21"/>
              </w:rPr>
              <w:t>技术要求评审中允许负偏离的条款数为</w:t>
            </w:r>
            <w:r>
              <w:rPr>
                <w:rFonts w:hint="eastAsia" w:ascii="宋体" w:hAnsi="宋体" w:cs="宋体"/>
                <w:szCs w:val="21"/>
                <w:u w:val="single"/>
              </w:rPr>
              <w:t xml:space="preserve"> 0</w:t>
            </w:r>
            <w:r>
              <w:rPr>
                <w:rFonts w:hint="eastAsia" w:ascii="宋体" w:hAnsi="宋体" w:cs="宋体"/>
                <w:szCs w:val="21"/>
              </w:rPr>
              <w:t>项，</w:t>
            </w:r>
            <w:r>
              <w:rPr>
                <w:rFonts w:hint="eastAsia" w:hAnsi="宋体"/>
              </w:rPr>
              <w:t>（负偏离达到1项或以上则投标无效）</w:t>
            </w:r>
            <w:r>
              <w:rPr>
                <w:rFonts w:hint="eastAsia" w:ascii="宋体" w:hAnsi="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szCs w:val="21"/>
              </w:rPr>
            </w:pPr>
            <w:r>
              <w:rPr>
                <w:rFonts w:hint="eastAsia" w:ascii="宋体" w:hAnsi="宋体" w:cs="宋体"/>
                <w:szCs w:val="21"/>
              </w:rPr>
              <w:t>10</w:t>
            </w:r>
          </w:p>
        </w:tc>
        <w:tc>
          <w:tcPr>
            <w:tcW w:w="7912" w:type="dxa"/>
            <w:vAlign w:val="center"/>
          </w:tcPr>
          <w:p>
            <w:pPr>
              <w:autoSpaceDE w:val="0"/>
              <w:autoSpaceDN w:val="0"/>
              <w:snapToGrid w:val="0"/>
              <w:spacing w:line="360" w:lineRule="auto"/>
              <w:textAlignment w:val="bottom"/>
              <w:rPr>
                <w:rFonts w:hint="eastAsia" w:ascii="宋体" w:hAnsi="宋体" w:cs="宋体"/>
                <w:szCs w:val="21"/>
              </w:rPr>
            </w:pPr>
            <w:r>
              <w:rPr>
                <w:rFonts w:hint="eastAsia" w:ascii="宋体" w:hAnsi="宋体" w:cs="宋体"/>
                <w:szCs w:val="21"/>
              </w:rPr>
              <w:t>本项目不收取履约保证金。</w:t>
            </w:r>
          </w:p>
        </w:tc>
      </w:tr>
      <w:bookmarkEnd w:id="25"/>
    </w:tbl>
    <w:p>
      <w:pPr>
        <w:spacing w:line="360" w:lineRule="auto"/>
        <w:ind w:left="1" w:firstLine="639" w:firstLineChars="199"/>
        <w:jc w:val="center"/>
        <w:rPr>
          <w:rFonts w:hint="eastAsia"/>
          <w:b/>
          <w:bCs/>
          <w:sz w:val="44"/>
          <w:szCs w:val="44"/>
        </w:rPr>
      </w:pPr>
      <w:r>
        <w:rPr>
          <w:rFonts w:ascii="宋体" w:hAnsi="宋体"/>
          <w:b/>
          <w:sz w:val="32"/>
          <w:szCs w:val="32"/>
        </w:rPr>
        <w:br w:type="page"/>
      </w:r>
      <w:bookmarkStart w:id="56" w:name="_Toc10641"/>
      <w:bookmarkStart w:id="57" w:name="_Toc2727"/>
      <w:bookmarkStart w:id="58" w:name="_Toc861"/>
      <w:bookmarkStart w:id="59" w:name="_Toc74323458"/>
      <w:bookmarkStart w:id="60" w:name="_Toc11700"/>
      <w:bookmarkStart w:id="61" w:name="_Toc18884"/>
      <w:r>
        <w:rPr>
          <w:rFonts w:hint="eastAsia"/>
          <w:b/>
          <w:bCs/>
          <w:sz w:val="44"/>
          <w:szCs w:val="44"/>
        </w:rPr>
        <w:t>第三章 采购需求</w:t>
      </w:r>
      <w:bookmarkEnd w:id="56"/>
      <w:bookmarkEnd w:id="57"/>
      <w:bookmarkEnd w:id="58"/>
      <w:bookmarkEnd w:id="59"/>
      <w:bookmarkEnd w:id="60"/>
      <w:bookmarkEnd w:id="61"/>
    </w:p>
    <w:p>
      <w:pPr>
        <w:spacing w:line="400" w:lineRule="exact"/>
        <w:ind w:firstLine="421"/>
        <w:jc w:val="left"/>
        <w:rPr>
          <w:rFonts w:hint="eastAsia" w:ascii="宋体" w:hAnsi="宋体" w:cs="Arial"/>
          <w:bCs/>
          <w:sz w:val="24"/>
          <w:u w:val="single"/>
        </w:rPr>
      </w:pPr>
      <w:r>
        <w:rPr>
          <w:rFonts w:hint="eastAsia" w:ascii="宋体" w:hAnsi="宋体"/>
          <w:b/>
          <w:sz w:val="24"/>
        </w:rPr>
        <w:t>采购预算：</w:t>
      </w:r>
      <w:r>
        <w:rPr>
          <w:rFonts w:hint="eastAsia" w:ascii="宋体" w:hAnsi="宋体" w:cs="Arial"/>
          <w:bCs/>
          <w:sz w:val="24"/>
          <w:u w:val="single"/>
        </w:rPr>
        <w:t xml:space="preserve">详见采购公告 </w:t>
      </w:r>
    </w:p>
    <w:p>
      <w:pPr>
        <w:spacing w:line="360" w:lineRule="auto"/>
        <w:rPr>
          <w:rFonts w:hint="eastAsia" w:ascii="宋体" w:hAnsi="宋体" w:cs="宋体"/>
          <w:b/>
          <w:bCs/>
          <w:szCs w:val="21"/>
        </w:rPr>
      </w:pPr>
      <w:r>
        <w:rPr>
          <w:rFonts w:hint="eastAsia"/>
          <w:b/>
          <w:bCs/>
          <w:sz w:val="28"/>
          <w:szCs w:val="28"/>
        </w:rPr>
        <w:t>（</w:t>
      </w:r>
      <w:r>
        <w:rPr>
          <w:rFonts w:hint="eastAsia" w:ascii="宋体" w:hAnsi="宋体" w:cs="宋体"/>
          <w:b/>
          <w:bCs/>
          <w:szCs w:val="21"/>
        </w:rPr>
        <w:t>一）、服务概述</w:t>
      </w:r>
    </w:p>
    <w:p>
      <w:pPr>
        <w:spacing w:line="360" w:lineRule="auto"/>
        <w:ind w:firstLine="420" w:firstLineChars="200"/>
        <w:rPr>
          <w:rFonts w:hint="eastAsia" w:ascii="宋体" w:hAnsi="宋体" w:cs="宋体"/>
          <w:szCs w:val="21"/>
        </w:rPr>
      </w:pPr>
      <w:r>
        <w:rPr>
          <w:rFonts w:hint="eastAsia" w:ascii="宋体" w:hAnsi="宋体" w:cs="宋体"/>
          <w:szCs w:val="21"/>
        </w:rPr>
        <w:t>为确保甲方公路工程试验检测数据准确、合法、有效，满足《公路水运工程试验检测管理办法》、《检验检测机构资质认定管理办法》及质监站核查要求，对试验室所有在用试验仪器、计量器具、检测设备进行统一检定、校准、标定、期间核查，确保全部设备量值溯源完整、状态合规、证书有效可查。</w:t>
      </w:r>
    </w:p>
    <w:p>
      <w:pPr>
        <w:spacing w:line="360" w:lineRule="auto"/>
        <w:rPr>
          <w:rFonts w:hint="eastAsia" w:ascii="宋体" w:hAnsi="宋体" w:cs="宋体"/>
          <w:b/>
          <w:bCs/>
          <w:szCs w:val="21"/>
        </w:rPr>
      </w:pPr>
      <w:r>
        <w:rPr>
          <w:rFonts w:hint="eastAsia" w:ascii="宋体" w:hAnsi="宋体" w:cs="宋体"/>
          <w:b/>
          <w:bCs/>
          <w:szCs w:val="21"/>
        </w:rPr>
        <w:t>（二）、标定执行标准（专用依据）</w:t>
      </w:r>
    </w:p>
    <w:p>
      <w:pPr>
        <w:spacing w:line="360" w:lineRule="auto"/>
        <w:ind w:firstLine="420" w:firstLineChars="200"/>
        <w:rPr>
          <w:rFonts w:hint="eastAsia" w:ascii="宋体" w:hAnsi="宋体" w:cs="宋体"/>
          <w:szCs w:val="21"/>
        </w:rPr>
      </w:pPr>
      <w:r>
        <w:rPr>
          <w:rFonts w:hint="eastAsia" w:ascii="宋体" w:hAnsi="宋体" w:cs="宋体"/>
          <w:szCs w:val="21"/>
        </w:rPr>
        <w:t>本次所有仪器标定、校准、检定工作，须严格执行现行有效国家检定规程（JJG）、国家校准规范（JJF）、公路水运行业标准（JTG），优先遵循公路工程试验检测专用规范，具体执行标准体系如下：</w:t>
      </w:r>
    </w:p>
    <w:p>
      <w:pPr>
        <w:spacing w:line="360" w:lineRule="auto"/>
        <w:rPr>
          <w:rFonts w:hint="eastAsia" w:ascii="宋体" w:hAnsi="宋体" w:cs="宋体"/>
          <w:szCs w:val="21"/>
        </w:rPr>
      </w:pPr>
      <w:r>
        <w:rPr>
          <w:rFonts w:hint="eastAsia" w:ascii="宋体" w:hAnsi="宋体" w:cs="宋体"/>
          <w:szCs w:val="21"/>
        </w:rPr>
        <w:t>1. 通用计量标准：国家计量检定规程（JJG）、国家计量校准规范（JJF）、地方标准最新有效版本；</w:t>
      </w:r>
    </w:p>
    <w:p>
      <w:pPr>
        <w:spacing w:line="360" w:lineRule="auto"/>
        <w:rPr>
          <w:rFonts w:hint="eastAsia" w:ascii="宋体" w:hAnsi="宋体" w:cs="宋体"/>
          <w:szCs w:val="21"/>
        </w:rPr>
      </w:pPr>
      <w:r>
        <w:rPr>
          <w:rFonts w:hint="eastAsia" w:ascii="宋体" w:hAnsi="宋体" w:cs="宋体"/>
          <w:szCs w:val="21"/>
        </w:rPr>
        <w:t>2. 所有设备标定点、精度指标、允许误差、判定结论必须严格匹配公路试验检测使用要求，不得仅按通用工业标准简化标定。</w:t>
      </w:r>
    </w:p>
    <w:p>
      <w:pPr>
        <w:spacing w:line="360" w:lineRule="auto"/>
        <w:rPr>
          <w:rFonts w:hint="eastAsia" w:ascii="宋体" w:hAnsi="宋体" w:cs="宋体"/>
          <w:b/>
          <w:bCs/>
          <w:szCs w:val="21"/>
        </w:rPr>
      </w:pPr>
      <w:bookmarkStart w:id="62" w:name="heading_2"/>
      <w:r>
        <w:rPr>
          <w:rFonts w:hint="eastAsia" w:ascii="宋体" w:hAnsi="宋体" w:cs="宋体"/>
          <w:b/>
          <w:bCs/>
          <w:szCs w:val="21"/>
        </w:rPr>
        <w:t>（三）、供应商资质与人员要求</w:t>
      </w:r>
      <w:bookmarkEnd w:id="62"/>
    </w:p>
    <w:p>
      <w:pPr>
        <w:spacing w:line="360" w:lineRule="auto"/>
        <w:rPr>
          <w:rFonts w:hint="eastAsia" w:ascii="宋体" w:hAnsi="宋体" w:cs="宋体"/>
          <w:szCs w:val="21"/>
        </w:rPr>
      </w:pPr>
      <w:bookmarkStart w:id="63" w:name="heading_3"/>
      <w:r>
        <w:rPr>
          <w:rFonts w:hint="eastAsia" w:ascii="宋体" w:hAnsi="宋体" w:cs="宋体"/>
          <w:szCs w:val="21"/>
        </w:rPr>
        <w:t>1、企业资质要求</w:t>
      </w:r>
      <w:bookmarkEnd w:id="63"/>
    </w:p>
    <w:p>
      <w:pPr>
        <w:spacing w:line="360" w:lineRule="auto"/>
        <w:rPr>
          <w:rFonts w:hint="eastAsia" w:ascii="宋体" w:hAnsi="宋体" w:cs="宋体"/>
          <w:szCs w:val="21"/>
        </w:rPr>
      </w:pPr>
      <w:r>
        <w:rPr>
          <w:rFonts w:hint="eastAsia" w:ascii="宋体" w:hAnsi="宋体" w:cs="宋体"/>
          <w:szCs w:val="21"/>
        </w:rPr>
        <w:t>（1） 具备独立法人资格，营业执照经营范围包含计量校准、仪器检定、检测设备标定等相关业务；</w:t>
      </w:r>
    </w:p>
    <w:p>
      <w:pPr>
        <w:spacing w:line="360" w:lineRule="auto"/>
        <w:rPr>
          <w:rFonts w:hint="eastAsia" w:ascii="宋体" w:hAnsi="宋体" w:cs="宋体"/>
          <w:szCs w:val="21"/>
        </w:rPr>
      </w:pPr>
      <w:r>
        <w:rPr>
          <w:rFonts w:hint="eastAsia" w:ascii="宋体" w:hAnsi="宋体" w:cs="宋体"/>
          <w:szCs w:val="21"/>
        </w:rPr>
        <w:t>（2）具备CNAS实验室认可资质，可出具全国通用、质监站认可的校准/检定证书；</w:t>
      </w:r>
    </w:p>
    <w:p>
      <w:pPr>
        <w:spacing w:line="360" w:lineRule="auto"/>
        <w:rPr>
          <w:rFonts w:hint="eastAsia" w:ascii="宋体" w:hAnsi="宋体" w:cs="宋体"/>
          <w:szCs w:val="21"/>
        </w:rPr>
      </w:pPr>
      <w:r>
        <w:rPr>
          <w:rFonts w:hint="eastAsia" w:ascii="宋体" w:hAnsi="宋体" w:cs="宋体"/>
          <w:szCs w:val="21"/>
        </w:rPr>
        <w:t>（3）严禁超范围标定、严禁挂靠资质、严禁转包分包，一经发现无条件终止服务并追责；</w:t>
      </w:r>
    </w:p>
    <w:p>
      <w:pPr>
        <w:spacing w:line="360" w:lineRule="auto"/>
        <w:rPr>
          <w:rFonts w:hint="eastAsia" w:ascii="宋体" w:hAnsi="宋体" w:cs="宋体"/>
          <w:szCs w:val="21"/>
        </w:rPr>
      </w:pPr>
      <w:r>
        <w:rPr>
          <w:rFonts w:hint="eastAsia" w:ascii="宋体" w:hAnsi="宋体" w:cs="宋体"/>
          <w:szCs w:val="21"/>
        </w:rPr>
        <w:t>（4）近3年内无虚假标定、证书造假、行业处罚、重大投诉等不良记录。</w:t>
      </w:r>
    </w:p>
    <w:p>
      <w:pPr>
        <w:spacing w:line="360" w:lineRule="auto"/>
        <w:rPr>
          <w:rFonts w:hint="eastAsia" w:ascii="宋体" w:hAnsi="宋体" w:cs="宋体"/>
          <w:szCs w:val="21"/>
        </w:rPr>
      </w:pPr>
      <w:bookmarkStart w:id="64" w:name="heading_4"/>
      <w:r>
        <w:rPr>
          <w:rFonts w:hint="eastAsia" w:ascii="宋体" w:hAnsi="宋体" w:cs="宋体"/>
          <w:szCs w:val="21"/>
        </w:rPr>
        <w:t>2、作业人员要求</w:t>
      </w:r>
      <w:bookmarkEnd w:id="64"/>
    </w:p>
    <w:p>
      <w:pPr>
        <w:spacing w:line="360" w:lineRule="auto"/>
        <w:rPr>
          <w:rFonts w:hint="eastAsia" w:ascii="宋体" w:hAnsi="宋体" w:cs="宋体"/>
          <w:szCs w:val="21"/>
        </w:rPr>
      </w:pPr>
      <w:r>
        <w:rPr>
          <w:rFonts w:hint="eastAsia" w:ascii="宋体" w:hAnsi="宋体" w:cs="宋体"/>
          <w:szCs w:val="21"/>
        </w:rPr>
        <w:t>（1） 作业人员须持有有效计量检定/校准人员资格证书，人证合一；</w:t>
      </w:r>
    </w:p>
    <w:p>
      <w:pPr>
        <w:spacing w:line="360" w:lineRule="auto"/>
        <w:rPr>
          <w:rFonts w:hint="eastAsia" w:ascii="宋体" w:hAnsi="宋体" w:cs="宋体"/>
          <w:szCs w:val="21"/>
        </w:rPr>
      </w:pPr>
      <w:r>
        <w:rPr>
          <w:rFonts w:hint="eastAsia" w:ascii="宋体" w:hAnsi="宋体" w:cs="宋体"/>
          <w:szCs w:val="21"/>
        </w:rPr>
        <w:t>（2）熟悉公路工程试验室仪器设备特性及JJG/JJF计量检定校准规范，具备公路试验室标定服务经验；</w:t>
      </w:r>
    </w:p>
    <w:p>
      <w:pPr>
        <w:spacing w:line="360" w:lineRule="auto"/>
        <w:rPr>
          <w:rFonts w:hint="eastAsia" w:ascii="宋体" w:hAnsi="宋体" w:cs="宋体"/>
          <w:szCs w:val="21"/>
        </w:rPr>
      </w:pPr>
      <w:r>
        <w:rPr>
          <w:rFonts w:hint="eastAsia" w:ascii="宋体" w:hAnsi="宋体" w:cs="宋体"/>
          <w:szCs w:val="21"/>
        </w:rPr>
        <w:t>（3） 服从甲方试验室管理制度、现场安全管理规定，配合监理核查及行业检查。</w:t>
      </w:r>
    </w:p>
    <w:p>
      <w:pPr>
        <w:spacing w:line="360" w:lineRule="auto"/>
        <w:rPr>
          <w:rFonts w:hint="eastAsia" w:ascii="宋体" w:hAnsi="宋体" w:cs="宋体"/>
          <w:b/>
          <w:bCs/>
          <w:szCs w:val="21"/>
        </w:rPr>
      </w:pPr>
      <w:r>
        <w:rPr>
          <w:rFonts w:hint="eastAsia" w:ascii="宋体" w:hAnsi="宋体" w:cs="宋体"/>
          <w:b/>
          <w:bCs/>
          <w:szCs w:val="21"/>
        </w:rPr>
        <w:t>（四）、服务范围与服务内容</w:t>
      </w:r>
    </w:p>
    <w:p>
      <w:pPr>
        <w:spacing w:line="360" w:lineRule="auto"/>
        <w:ind w:firstLine="420" w:firstLineChars="200"/>
        <w:rPr>
          <w:rFonts w:hint="eastAsia" w:ascii="宋体" w:hAnsi="宋体" w:cs="宋体"/>
          <w:szCs w:val="21"/>
        </w:rPr>
      </w:pPr>
      <w:r>
        <w:rPr>
          <w:rFonts w:hint="eastAsia" w:ascii="宋体" w:hAnsi="宋体" w:cs="宋体"/>
          <w:szCs w:val="21"/>
        </w:rPr>
        <w:t>乙方负责甲方试验室全部在用试验仪器设备的上门标定/检定/校准、数据记录、误差修正、异常判定、资料出具、售后复核全套服务，具体内容如下：</w:t>
      </w:r>
    </w:p>
    <w:p>
      <w:pPr>
        <w:spacing w:line="360" w:lineRule="auto"/>
        <w:rPr>
          <w:rFonts w:hint="eastAsia" w:ascii="宋体" w:hAnsi="宋体" w:cs="宋体"/>
          <w:szCs w:val="21"/>
        </w:rPr>
      </w:pPr>
      <w:r>
        <w:rPr>
          <w:rFonts w:hint="eastAsia" w:ascii="宋体" w:hAnsi="宋体" w:cs="宋体"/>
          <w:szCs w:val="21"/>
        </w:rPr>
        <w:t>1、 现场勘查：进场核对试验室设备台账、资产编号、在用状态，梳理需标定设备清单，剔除报废停用设备；</w:t>
      </w:r>
    </w:p>
    <w:p>
      <w:pPr>
        <w:spacing w:line="360" w:lineRule="auto"/>
        <w:rPr>
          <w:rFonts w:hint="eastAsia" w:ascii="宋体" w:hAnsi="宋体" w:cs="宋体"/>
          <w:szCs w:val="21"/>
        </w:rPr>
      </w:pPr>
      <w:r>
        <w:rPr>
          <w:rFonts w:hint="eastAsia" w:ascii="宋体" w:hAnsi="宋体" w:cs="宋体"/>
          <w:szCs w:val="21"/>
        </w:rPr>
        <w:t>2、现场标定：针对土工、集料、水泥、混凝土、沥青、力学、测温、测距、称重等全部试验设备，按规范全点位、全量程标定，不得漏点、少点、简化流程；</w:t>
      </w:r>
    </w:p>
    <w:p>
      <w:pPr>
        <w:spacing w:line="360" w:lineRule="auto"/>
        <w:rPr>
          <w:rFonts w:hint="eastAsia" w:ascii="宋体" w:hAnsi="宋体" w:cs="宋体"/>
          <w:szCs w:val="21"/>
        </w:rPr>
      </w:pPr>
      <w:r>
        <w:rPr>
          <w:rFonts w:hint="eastAsia" w:ascii="宋体" w:hAnsi="宋体" w:cs="宋体"/>
          <w:szCs w:val="21"/>
        </w:rPr>
        <w:t>3、 偏差核查：对标定超差、精度超标、状态异常设备，现场记录问题，提供偏差分析、调整建议、整改说明；</w:t>
      </w:r>
    </w:p>
    <w:p>
      <w:pPr>
        <w:spacing w:line="360" w:lineRule="auto"/>
        <w:rPr>
          <w:rFonts w:hint="eastAsia" w:ascii="宋体" w:hAnsi="宋体" w:cs="宋体"/>
          <w:szCs w:val="21"/>
        </w:rPr>
      </w:pPr>
      <w:r>
        <w:rPr>
          <w:rFonts w:hint="eastAsia" w:ascii="宋体" w:hAnsi="宋体" w:cs="宋体"/>
          <w:szCs w:val="21"/>
        </w:rPr>
        <w:t>4、 计量标识：标定合格设备统一配备有效计量合格标识，标注标定日期、有效期、设备编号，做到标识清晰、台账对应；</w:t>
      </w:r>
    </w:p>
    <w:p>
      <w:pPr>
        <w:spacing w:line="360" w:lineRule="auto"/>
        <w:rPr>
          <w:rFonts w:hint="eastAsia" w:ascii="宋体" w:hAnsi="宋体" w:cs="宋体"/>
          <w:szCs w:val="21"/>
        </w:rPr>
      </w:pPr>
      <w:r>
        <w:rPr>
          <w:rFonts w:hint="eastAsia" w:ascii="宋体" w:hAnsi="宋体" w:cs="宋体"/>
          <w:szCs w:val="21"/>
        </w:rPr>
        <w:t>5、 资料出具：出具合法有效的检定/校准证书、汇总台账、符合性说明，满足工地试验室备案、季度检查、交工验收、资质核查使用；</w:t>
      </w:r>
    </w:p>
    <w:p>
      <w:pPr>
        <w:spacing w:line="360" w:lineRule="auto"/>
        <w:rPr>
          <w:rFonts w:hint="eastAsia" w:ascii="宋体" w:hAnsi="宋体" w:cs="宋体"/>
          <w:szCs w:val="21"/>
        </w:rPr>
      </w:pPr>
      <w:r>
        <w:rPr>
          <w:rFonts w:hint="eastAsia" w:ascii="宋体" w:hAnsi="宋体" w:cs="宋体"/>
          <w:szCs w:val="21"/>
        </w:rPr>
        <w:t>6、 技术配合：配合甲方、质监站对标定资料的核查、答疑、复核工作。</w:t>
      </w:r>
    </w:p>
    <w:p>
      <w:pPr>
        <w:spacing w:line="360" w:lineRule="auto"/>
        <w:rPr>
          <w:rFonts w:hint="eastAsia" w:ascii="宋体" w:hAnsi="宋体" w:cs="宋体"/>
          <w:szCs w:val="21"/>
        </w:rPr>
      </w:pPr>
      <w:r>
        <w:rPr>
          <w:rFonts w:hint="eastAsia" w:ascii="宋体" w:hAnsi="宋体" w:cs="宋体"/>
          <w:b/>
          <w:bCs/>
          <w:szCs w:val="21"/>
        </w:rPr>
        <w:t>（五）、公路试验室仪器设备标定一览表</w:t>
      </w:r>
    </w:p>
    <w:tbl>
      <w:tblPr>
        <w:tblStyle w:val="30"/>
        <w:tblW w:w="9572" w:type="dxa"/>
        <w:jc w:val="center"/>
        <w:tblLayout w:type="autofit"/>
        <w:tblCellMar>
          <w:top w:w="0" w:type="dxa"/>
          <w:left w:w="108" w:type="dxa"/>
          <w:bottom w:w="0" w:type="dxa"/>
          <w:right w:w="108" w:type="dxa"/>
        </w:tblCellMar>
      </w:tblPr>
      <w:tblGrid>
        <w:gridCol w:w="785"/>
        <w:gridCol w:w="1319"/>
        <w:gridCol w:w="1560"/>
        <w:gridCol w:w="1514"/>
        <w:gridCol w:w="994"/>
        <w:gridCol w:w="3400"/>
      </w:tblGrid>
      <w:tr>
        <w:tblPrEx>
          <w:tblCellMar>
            <w:top w:w="0" w:type="dxa"/>
            <w:left w:w="108" w:type="dxa"/>
            <w:bottom w:w="0" w:type="dxa"/>
            <w:right w:w="108" w:type="dxa"/>
          </w:tblCellMar>
        </w:tblPrEx>
        <w:trPr>
          <w:trHeight w:val="499" w:hRule="atLeast"/>
          <w:tblHeader/>
          <w:jc w:val="center"/>
        </w:trPr>
        <w:tc>
          <w:tcPr>
            <w:tcW w:w="78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b/>
                <w:bCs/>
                <w:color w:val="000000"/>
                <w:kern w:val="0"/>
                <w:sz w:val="18"/>
                <w:szCs w:val="18"/>
              </w:rPr>
            </w:pPr>
            <w:r>
              <w:rPr>
                <w:rFonts w:hint="eastAsia"/>
                <w:b/>
                <w:bCs/>
                <w:color w:val="000000"/>
                <w:kern w:val="0"/>
                <w:sz w:val="18"/>
                <w:szCs w:val="18"/>
              </w:rPr>
              <w:t>序号</w:t>
            </w:r>
          </w:p>
        </w:tc>
        <w:tc>
          <w:tcPr>
            <w:tcW w:w="1319" w:type="dxa"/>
            <w:tcBorders>
              <w:top w:val="single" w:color="auto" w:sz="4" w:space="0"/>
              <w:left w:val="single" w:color="auto" w:sz="4" w:space="0"/>
              <w:bottom w:val="single" w:color="auto" w:sz="4" w:space="0"/>
              <w:right w:val="single" w:color="auto" w:sz="4" w:space="0"/>
            </w:tcBorders>
            <w:noWrap/>
            <w:vAlign w:val="center"/>
          </w:tcPr>
          <w:p>
            <w:pPr>
              <w:widowControl/>
              <w:jc w:val="center"/>
              <w:rPr>
                <w:b/>
                <w:bCs/>
                <w:color w:val="000000"/>
                <w:kern w:val="0"/>
                <w:sz w:val="18"/>
                <w:szCs w:val="18"/>
              </w:rPr>
            </w:pPr>
            <w:r>
              <w:rPr>
                <w:b/>
                <w:bCs/>
                <w:color w:val="000000"/>
                <w:kern w:val="0"/>
                <w:sz w:val="18"/>
                <w:szCs w:val="18"/>
              </w:rPr>
              <w:t>仪器设备编号</w:t>
            </w:r>
          </w:p>
        </w:tc>
        <w:tc>
          <w:tcPr>
            <w:tcW w:w="1560" w:type="dxa"/>
            <w:tcBorders>
              <w:top w:val="single" w:color="auto" w:sz="4" w:space="0"/>
              <w:left w:val="nil"/>
              <w:bottom w:val="single" w:color="auto" w:sz="4" w:space="0"/>
              <w:right w:val="single" w:color="auto" w:sz="4" w:space="0"/>
            </w:tcBorders>
            <w:noWrap/>
            <w:vAlign w:val="center"/>
          </w:tcPr>
          <w:p>
            <w:pPr>
              <w:widowControl/>
              <w:jc w:val="center"/>
              <w:rPr>
                <w:b/>
                <w:bCs/>
                <w:color w:val="000000"/>
                <w:kern w:val="0"/>
                <w:sz w:val="18"/>
                <w:szCs w:val="18"/>
              </w:rPr>
            </w:pPr>
            <w:r>
              <w:rPr>
                <w:b/>
                <w:bCs/>
                <w:color w:val="000000"/>
                <w:kern w:val="0"/>
                <w:sz w:val="18"/>
                <w:szCs w:val="18"/>
              </w:rPr>
              <w:t>仪器设备名称</w:t>
            </w:r>
          </w:p>
        </w:tc>
        <w:tc>
          <w:tcPr>
            <w:tcW w:w="1514" w:type="dxa"/>
            <w:tcBorders>
              <w:top w:val="single" w:color="auto" w:sz="4" w:space="0"/>
              <w:left w:val="nil"/>
              <w:bottom w:val="single" w:color="auto" w:sz="4" w:space="0"/>
              <w:right w:val="single" w:color="auto" w:sz="4" w:space="0"/>
            </w:tcBorders>
            <w:noWrap/>
            <w:vAlign w:val="center"/>
          </w:tcPr>
          <w:p>
            <w:pPr>
              <w:widowControl/>
              <w:jc w:val="center"/>
              <w:rPr>
                <w:b/>
                <w:bCs/>
                <w:color w:val="000000"/>
                <w:kern w:val="0"/>
                <w:sz w:val="18"/>
                <w:szCs w:val="18"/>
              </w:rPr>
            </w:pPr>
            <w:r>
              <w:rPr>
                <w:b/>
                <w:bCs/>
                <w:color w:val="000000"/>
                <w:kern w:val="0"/>
                <w:sz w:val="18"/>
                <w:szCs w:val="18"/>
              </w:rPr>
              <w:t>型号规格</w:t>
            </w:r>
          </w:p>
        </w:tc>
        <w:tc>
          <w:tcPr>
            <w:tcW w:w="994" w:type="dxa"/>
            <w:tcBorders>
              <w:top w:val="single" w:color="auto" w:sz="4" w:space="0"/>
              <w:left w:val="nil"/>
              <w:bottom w:val="single" w:color="auto" w:sz="4" w:space="0"/>
              <w:right w:val="single" w:color="auto" w:sz="4" w:space="0"/>
            </w:tcBorders>
            <w:noWrap/>
            <w:vAlign w:val="center"/>
          </w:tcPr>
          <w:p>
            <w:pPr>
              <w:widowControl/>
              <w:jc w:val="center"/>
              <w:rPr>
                <w:b/>
                <w:bCs/>
                <w:color w:val="000000"/>
                <w:kern w:val="0"/>
                <w:sz w:val="18"/>
                <w:szCs w:val="18"/>
              </w:rPr>
            </w:pPr>
            <w:r>
              <w:rPr>
                <w:b/>
                <w:bCs/>
                <w:color w:val="000000"/>
                <w:kern w:val="0"/>
                <w:sz w:val="18"/>
                <w:szCs w:val="18"/>
              </w:rPr>
              <w:t>存放地点</w:t>
            </w:r>
          </w:p>
        </w:tc>
        <w:tc>
          <w:tcPr>
            <w:tcW w:w="3400"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18"/>
                <w:szCs w:val="18"/>
              </w:rPr>
            </w:pPr>
            <w:r>
              <w:rPr>
                <w:rFonts w:hint="eastAsia"/>
                <w:b/>
                <w:bCs/>
                <w:color w:val="000000"/>
                <w:kern w:val="0"/>
                <w:sz w:val="18"/>
                <w:szCs w:val="18"/>
              </w:rPr>
              <w:t>计划</w:t>
            </w:r>
            <w:r>
              <w:rPr>
                <w:b/>
                <w:bCs/>
                <w:color w:val="000000"/>
                <w:kern w:val="0"/>
                <w:sz w:val="18"/>
                <w:szCs w:val="18"/>
              </w:rPr>
              <w:t>标定参数</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烘箱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STHX-3A</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温度示值误差、温度均匀性、控温波动度、定时精度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JY1002</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JS15-01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JS30-01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灌水法容重测定仪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GSY-1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容器容积精度、量测刻度准确性、密封性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土壤筛</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0.075~60mm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筛孔尺寸偏差、筛网平整度、筛框垂直度、筛分效率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土壤密度计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TM-85</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刻度示值误差、垂直度、密度范围准确性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JJJC-1-011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液塑限联合测定仪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LP-100D</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圆锥入土深度示值误差、圆锥质量、下沉时间控制、温度控制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JJJC-1-012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电动击实仪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BKJ-III</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击实锤质量、落距精度、击实频率、击实次数控制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JJJC-1-015</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测力环</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7.5kN</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力值示值误差、重复性、滞后误差、灵敏度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JJJC-1-018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比重瓶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250mL</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容积精度、颈部刻度示值误差、密封性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JJJC-1-019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砂浴</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DK-2</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高温室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温度示值误差、加热均匀性、温控精度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表面振动压实仪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STYY-1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振动频率、振幅、激振力、压实时间控制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回弹模量测定仪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HM-Ⅰ</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量力环示值误差、变形测量精度、加载控制精度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千分表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0-1mm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示值误差、重复性、回程误差、分辨力</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高温炉（箱式电阻炉）</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S×5-12</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高温室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温度示值误差、炉膛温度均匀性、升温速率、温控精度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油浴锅</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HH-S</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高温室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温度示值误差、温度均匀性、控温精度、液位控制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水浴锅</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DZKW-D-2</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温度示值误差、温度均匀性、控温精度、加热稳定性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土壤相对密度仪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XD-1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容器容积精度、刻度示值误差、振动频率、击实效果</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百分表（配7.5kN测力环）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百分表示值误差、测力环力值误差、装配同轴度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长度示值误差、刻度清晰度、直线度、厚度均匀性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测力环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60kN</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力值示值误差、重复性、滞后误差、灵敏度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测力环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30kN</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力值示值误差、重复性、滞后误差、灵敏度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测力环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100kN</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力值示值误差、重复性、滞后误差、灵敏度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测力环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150kN</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力值示值误差、重复性、滞后误差、灵敏度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百分表（配30kN测力环）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百分表示值误差、测力环力值误差、装配精度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JJJC-1-040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JJJC-1-041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JJJC-1-042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JJJC-1-043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JJJC-1-044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标准筛（方孔）</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0.075~63mm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筛孔尺寸偏差、筛网质量、筛框尺寸精度、筛分效率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TS15kg/0.1g</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TS30kg/0.1g</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摇筛机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STSJ-3A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振动频率、振幅、筛分时间控制、各层筛固定稳定性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钢板尺（钢直尺）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0~1000mm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长度示值误差、刻度精度、直线度、边缘平整度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JY2002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JS6-01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JJJC-2-014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烘箱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101A-3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温度示值误差、温度均匀性、控温波动度、定时精度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JJJC-2-015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针片状规准仪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17.1~82.8mm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标准孔尺寸偏差、规准杆直径精度、外形尺寸公差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JJJC-2-016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数显卡尺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示值误差、重复性、分辨率、测量力、各测量面平行度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JJJC-2-018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压碎值试验仪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承压面平行度、尺寸精度、加载同心度、试样筒尺寸公差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JJJC-2-019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洛杉矶磨耗试验机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MH-II</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转数控制精度、钢球质量偏差、磨耗筒尺寸精度、转速稳定性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加速磨光试验机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JM-III</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转速控制精度、加载压力示值误差、磨料供给均匀性、温度控制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烧杯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500mL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容积示值误差、刻度清晰度、耐热性、壁厚均匀性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砂当量试验仪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YL-2B</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量筒刻度示值误差、搅拌转速、计时精度、垂直度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恒温水槽（浴）</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STSY-2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温度示值误差、槽内温度均匀性、控温精度、升温速率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李氏密度瓶（李氏比重瓶）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250mL/0.05mL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容积精度、颈部刻度示值误差、密封性、温度影响修正</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测长仪/比长仪/砼收缩膨胀仪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HSP-540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长度示值误差、温度示值误差、测量力、重复性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0~10mm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波美比重计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1.0~1.1g/cm</w:t>
            </w:r>
            <w:r>
              <w:rPr>
                <w:kern w:val="0"/>
                <w:sz w:val="18"/>
                <w:szCs w:val="18"/>
                <w:vertAlign w:val="superscript"/>
              </w:rPr>
              <w:t>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刻度示值误差、垂直度、温度修正系数、密度范围</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贮存箱（碱骨料试验箱）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JKS</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温度示值误差、湿度控制精度、控温波动度、密封性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软弱颗粒试验机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RKL-1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力值示值误差、加载速率控制、试样夹具尺寸精度、变形测量</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叶轮搅拌机(亚甲蓝搅拌机)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DJ-YJ</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搅拌转速、搅拌时间控制、叶轮尺寸精度、搅拌均匀性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秒表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JM-504</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计时误差、分辨率、启动停止响应时间、累积计时精度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负压筛析仪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FYS-200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负压值示值误差、筛网尺寸偏差、筛分时间控制、密封性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蝶式液塑限测定仪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DSY-91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圆锥质量、入土深度示值误差、下沉时间控制、温度控制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JJJC-3-003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游标卡尺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岩石室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示值误差、重复性、分辨率、测量力、各测量面平行度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JJJC-3-004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JY1002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岩石室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JJJC-3-006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密度瓶（比重瓶）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100mL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岩石室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容积精度、颈部刻度示值误差、密封性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JJJC-4-001</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水泥细度负筛析仪</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FYS-150B</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水泥室3</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负压值示值误差、筛网尺寸偏差、筛分时间控制、密封性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JJJC-4-002</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细度负压筛</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0.045mm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水泥室3</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筛孔尺寸偏差、筛网平整度、筛分效率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JJJC-4-003</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细度负压筛</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0.080mm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水泥室3</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筛孔尺寸偏差、筛网平整度、筛分效率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JJJC-4-004</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比表面积测定仪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FBT-9A</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水泥室3</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比表面积测量误差、温度示值误差、计时精度、密封性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JJJC-4-005</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秒表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JM-504</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水泥室4</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计时误差、分辨率、启动停止响应时间、累积计时精度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JJJC-4-006</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维卡仪（水泥标准稠度仪）</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0-70mm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试针长度、试针直径、标尺示值误差、落距精度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JJJC-4-007</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水泥净浆搅拌机</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NJ-160B</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搅拌转速、搅拌时间控制、叶片尺寸精度、搅拌均匀性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JJJC-4-008</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烘箱</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101A-3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水泥室2</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温度示值误差、温度均匀性、控温波动度、定时精度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JJJC-4-009</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雷氏夹及膨胀测定仪</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LD-50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弹性恢复量示值误差、标尺精度、雷氏夹尺寸偏差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JJJC-4-010</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沸煮箱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FZ-31A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水泥室2</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升温时间控制、恒温温度示值误差、水位控制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JJJC-4-011</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恒温恒湿养护箱</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SHBY-40A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温度示值误差、湿度控制精度、控温精度、密封性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JJJC-4-012</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水泥胶砂搅拌机</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JJ-20S</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搅拌转速、搅拌时间、叶片间隙、搅拌均匀性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JJJC-4-013</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水泥胶砂振实台</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JJ-20LX</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振动频率、振幅、振动时间、台面平整度、偏心距</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JJJC-4-014</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水泥胶砂流动度测定仪（电动跳桌）</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NLD-3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跳动频率、落距精度、流动度测量精度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JJJC-4-015</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磁力加热搅拌器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85-2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搅拌转速、加热温度示值误差、密封性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JJJC-4-016</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氯离子分析仪（测氯蒸馏装置）</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CCL-5A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蒸馏精度、温度示值误差、计时精度、密封性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JJJC-4-017</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微机控制恒加荷速率压力试验机</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YAW-300D</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力值示值误差、加载速率控制、压板平行度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JJJC-4-018</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李氏比重瓶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250mL/0.05mL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容积精度、颈部刻度示值误差、密封性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color w:val="000000"/>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YP-50002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JJJC-5-001</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坍落度仪（筒）</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100*200*300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容积精度、垂直度、坍落扩展度测量精度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JJJC-5-002</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砼数显维勃稠度仪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HCY-A</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稠度示值误差、搅拌转速、计时精度、垂直度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JJJC-5-003</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混凝土振动台试验仪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ZHJ100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振动频率、振幅、振动时间、台面平整度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JJJC-5-004</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秒表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JM-504</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计时误差、分辨率、启动停止响应时间、累积计时精度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JJJC-5-006</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砼含气量测定仪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CA-3</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压力示值误差、密封性、容积精度、温度修正</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JJJC-5-007</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砼贯入阻力仪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SGO-1200N</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力值示值误差、贯入深度示值误差、加载速率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JJJC-5-008</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微变形测量仪（混凝土弹性模量测定仪）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TM-Ⅱ</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现场室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变形测量精度、测力精度、稳定性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JJJC-5-010</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水泥混凝土渗透仪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HP-4.0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压力示值误差、密封性、容积精度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JJJC-5-011</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电子台称</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TCS-100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称量精度、重复性、线性误差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JJJC-5-012</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标准养护室（恒温恒湿自动控制仪）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BYSF-60 3P</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养护室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温度示值误差、湿度控制精度、控温精度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JJJC-5-013</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混凝土卧式搅拌机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STWJ-60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搅拌转速、搅拌时间控制、搅拌均匀性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JJJC-5-014</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砂浆稠度仪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SC-145</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稠度示值误差、重复性、测量精度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JJJC-5-020</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立式砂浆搅拌机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UJZ-15</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搅拌转速、搅拌时间控制、搅拌均匀性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JJJC-5-022</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数显砂浆凝结时间测定仪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ZKS-100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凝结时间示值误差、测力精度、计时精度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JJJC-5-023</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砂浆分层度仪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分层度测量精度、密封性、容积精度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JJJC-5-024</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自密实混凝土坍落扩展度测定仪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1m*1m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扩展度测量精度、平整度、尺寸精度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JJJC-5-028</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砂浆收缩膨胀仪（测长仪/比长仪）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DCBY-175</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长度示值误差、测量力、重复性</w:t>
            </w:r>
          </w:p>
        </w:tc>
      </w:tr>
      <w:tr>
        <w:tblPrEx>
          <w:tblCellMar>
            <w:top w:w="0" w:type="dxa"/>
            <w:left w:w="108" w:type="dxa"/>
            <w:bottom w:w="0" w:type="dxa"/>
            <w:right w:w="108" w:type="dxa"/>
          </w:tblCellMar>
        </w:tblPrEx>
        <w:trPr>
          <w:trHeight w:val="90"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JJJC-5-029</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钢直尺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50cm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长度示值误差、刻度清晰度、直线度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JJJC-5-030</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JY5001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酸度计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PHS-3C</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示值误差、温度补偿精度、稳定性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酸式滴定管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移液管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量筒</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5、10、50、100、200、500、1000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分析天平</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JT2003B/1mg</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天平室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分析天平</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FA2004B</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天平室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秒表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JM-504</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计时误差、分辨率、启动停止响应时间、累积计时精度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JJJC-6-010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容量瓶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500毫升</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JJJC-6-011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容量瓶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500毫升</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JJJC-6-012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容量瓶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1000毫升</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JJJC-6-013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容量瓶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1000毫升</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JJJC-8-001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李氏比重瓶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250mL/0.05mL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容积精度、颈部刻度示值误差、密封性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JJJC-8-003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游离氧化钙测定仪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Ca-5</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温度示值误差、滴定精度、计时精度、密封性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JJJC-9-001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HZ5001A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JJJC-9-005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5mm圆孔筛</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φ5mm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筛孔尺寸偏差、筛分效率、尺寸精度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沥青密度（比重）瓶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25mL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容积精度、密封性、温度稳定性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恒温水槽</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HWY-30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温度示值误差、槽内温度均匀性、控温精度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沥青针入度测定仪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SYD-2801F</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针入度示值误差、温度示值误差、计时精度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沥青延度试验器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SYD-4508C</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拉伸速度示值误差、温度示值误差、长度示值误差</w:t>
            </w:r>
          </w:p>
        </w:tc>
      </w:tr>
      <w:tr>
        <w:tblPrEx>
          <w:tblCellMar>
            <w:top w:w="0" w:type="dxa"/>
            <w:left w:w="108" w:type="dxa"/>
            <w:bottom w:w="0" w:type="dxa"/>
            <w:right w:w="108" w:type="dxa"/>
          </w:tblCellMar>
        </w:tblPrEx>
        <w:trPr>
          <w:trHeight w:val="534"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沥青软化点试验器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SYD-2806G</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温度示值误差、升温速率、钢球质量、定位精度</w:t>
            </w:r>
          </w:p>
        </w:tc>
      </w:tr>
      <w:tr>
        <w:tblPrEx>
          <w:tblCellMar>
            <w:top w:w="0" w:type="dxa"/>
            <w:left w:w="108" w:type="dxa"/>
            <w:bottom w:w="0" w:type="dxa"/>
            <w:right w:w="108" w:type="dxa"/>
          </w:tblCellMar>
        </w:tblPrEx>
        <w:trPr>
          <w:trHeight w:val="594"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旋转式沥青薄膜烘箱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STBX-82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温度示值误差、转速控制精度、空气流量控制</w:t>
            </w:r>
          </w:p>
        </w:tc>
      </w:tr>
      <w:tr>
        <w:tblPrEx>
          <w:tblCellMar>
            <w:top w:w="0" w:type="dxa"/>
            <w:left w:w="108" w:type="dxa"/>
            <w:bottom w:w="0" w:type="dxa"/>
            <w:right w:w="108" w:type="dxa"/>
          </w:tblCellMar>
        </w:tblPrEx>
        <w:trPr>
          <w:trHeight w:val="891"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沥青动力粘度试验仪（真空减压毛细管黏度计）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SYD-0620B</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动力粘度示值误差、温度示值误差、真空度控制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克利夫兰开口闪点仪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SYD-3636</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温度示值误差、加热速率、点火控制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JJJC-10-010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烘箱（电热鼓风恒温干燥箱）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101A-2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温度示值误差、温度均匀性、控温波动度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JJJC-10-011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冰箱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DW-180-40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温度示值误差、制冷精度、密封性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JJJC-10-012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沥青标准粘度试验仪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SYD-0621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标准粘度示值误差、温度示值误差、流量控制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JJJC-10-013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滤筛（1.18mm）</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1.18mm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筛孔尺寸偏差、筛分效率、尺寸精度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JJJC-10-017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温度计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0~100℃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温度示值误差、测量精度、稳定性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沥青混合料拌和机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SLHB-Ⅲ</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温度示值误差、搅拌转速、加热均匀性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烘箱（恒温干燥箱）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101A-3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温度示值误差、温度均匀性、控温波动度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浸水天平（静水天平）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JY5001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称量精度、重复性、线性误差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控温溢流水槽</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STYLS-2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温度示值误差、控温精度、密封性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低温恒温溢流水箱(带网篮）</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TDYL-III</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温度示值误差、控温精度、溢流水稳定性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马歇尔电动击实仪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SMZ-Ⅱ</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击实锤质量、落距精度、击实频率、击实次数控制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马歇尔稳定度测定仪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LHWD-3A</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稳定度示值误差、流值示值误差、加载速率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恒温水槽</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STSY-3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温度示值误差、槽内温度均匀性、控温精度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燃烧炉（燃烧法沥青含量分析仪）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QYRS-6</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岩石室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温度示值误差、加热均匀性、称量精度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JJJC-11-010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沥青混合料最大理论密度仪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LM-Ⅳ</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密度测量精度、密封性、温度稳定性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JJJC-11-011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车辙试样成型机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KRCX-5</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温度示值误差、加载压力示值误差、轮压控制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JJJC-11-012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自动车辙试验仪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KRCZ-5</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温度示值误差、制冷精度、密封性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JJJC-11-013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恒温冰箱（低温试验箱）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BD/BC-238A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温度示值误差、制冷精度、密封性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JJJC-11-014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TS15kg/0.1g</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0~1000mm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长度示值误差、刻度清晰度、直线度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JJJC-12-002</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压力试验机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STYE-2000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力值示值误差、加载速率控制、压板平行度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JJJC-12-003</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数显万能材料试验机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WA-1000B</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力值示值误差、变形示值误差、加载速率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JJJC-12-004</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数显万能材料试验机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WA-300B</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力值示值误差、变形示值误差、加载速率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JJJC-12-005</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引伸仪（电子引伸计）</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ZES</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变形测量精度、测力精度、稳定性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JJJC-12-006</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游标卡尺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示值误差、重复性、分辨率、测量力、各测量面平行度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JJJC-12-007</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标距打点机（连续标点机）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XLB-1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标距长度示值误差、打点精度、稳定性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JJJC-12-010</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钢筋弯曲试验机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GW-40S</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弯曲角度控制、弯曲半径精度、加载速度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JJJC-12-012</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JS6-01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钢卷尺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7.5m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长度示值误差、刻度清晰度、伸缩灵活性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JJJC-13-002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长度示值误差、刻度清晰度、直线度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游标卡尺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示值误差、重复性、分辨率、测量力、各测量面平行度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水准仪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NL32A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水准器角值误差、视准轴平行度、读数精度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全站仪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ES-600G</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角度测量误差、距离测量误差、补偿器精度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三米直尺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JZC-G2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长度示值误差、平整度、垂直度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数显深度尺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贝克曼梁</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5.4m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弯沉仪臂长精度、百分表示值误差、支座稳定性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路表温度计（红外线测温仪）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UT300A+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温度示值误差、测量精度、稳定性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摆式摩擦系数测定仪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BM-Ⅲ</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摆值示值误差、滑块质量偏差、摆臂长度精度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人工铺砂仪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砂体积精度、刮尺平整度、测量重复性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路面渗水仪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HDSS-Ⅱ</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量筒刻度示值误差、渗水时间控制、密封性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秒表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JM-504</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计时误差、分辨率、启动停止响应时间、累积计时精度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JJJC-13-020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电动铺砂仪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ALD-138</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铺砂精度、尺寸精度、重复性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JJJC-13-022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路面横断面尺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LHHD-Ⅰ</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横断面尺寸精度、刻度示值误差、平整度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JJJC-13-025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路面层间粘结力拉拔试验仪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MR-LM3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拉拔力示值误差、加载速率控制、位移精度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JJJC-13-026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拉伸仪（电子引伸计）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YYU-10/100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变形测量精度、测力精度、稳定性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JJJC-13-028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　</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示值误差、重复性、回程误差、分辨力</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JJJC-13-029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落球式回弹模量测试仪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DCA-P-02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模量示值误差、加载精度、变形测量精度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混凝土回弹仪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ZC3-E+</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率定值误差、指针摩擦力、冲击能量</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碳化深度测量装置</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0-8mm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深度示值误差、重复性、测量精度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钢筋探测仪（一体式钢筋检测仪）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ZBL-R660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钢筋位置测量精度、直径测量误差、保护层厚度误差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长度示值误差、刻度清晰度、直线度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钢卷尺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0~5m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长度示值误差、刻度清晰度、伸缩灵活性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游标卡尺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示值误差、重复性、分辨率、测量力、各测量面平行度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裂缝综合测试仪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ZBL-F800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裂缝宽度示值误差、深度测量误差、长度测量精度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承载板测试仪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60KN，300mm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承载精度、力值示值误差、变形测量精度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压力表（荷载加载装置）</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（0~60）MPa/2MPa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压力示值误差、重复性、回程误差、量程准确性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动力触探仪（轻型触探仪）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FD-635N</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探头面积精度、锤击能量、计数精度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静力触探仪（含测力传感器）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CDL-3T</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测力传感器示值误差、深度测量精度、贯入速率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无线超声波检测仪（多通道超声测桩仪+超声测桩提升装置）</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U5600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声时测量误差、声幅测量精度、定位精度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基桩动测仪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ZBL-P8000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振动频率测量精度、加速度测量误差、分析精度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精密水准仪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DSZ1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水准器角值误差、视准轴平行度、读数精度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长度示值误差、刻度清晰度、直线度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卷尺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长度示值误差、刻度清晰度、伸缩灵活性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卡尺（游标卡尺）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示值误差、重复性、分辨率、测量力、各测量面平行度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万能角尺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320°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角度示值误差、重复性、测量精度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塞尺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厚度示值误差、平行度、柔韧性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锤线（吊锤）</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JZC-4500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垂直度、质量均匀性、线的直线度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千分尺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25mm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示值误差、重复性、平行度、测量力</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超声波测厚仪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TT380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厚度示值误差、分辨率、声速校准</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涂层测厚仪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TT2610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厚度示值误差、重复性、分辨率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JJJC-16-010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标线涂层厚度测试仪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STT-950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厚度示值误差、测量压力、分辨率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JJJC-16-011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竖直度尺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JZC-D</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垂直度误差、长度示值误差、刻度精度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JJJC-16-012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逆反射标志测量仪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STT-101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逆反射系数示值误差、角度控制、光源稳定性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JJJC-16-013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标线逆反射测量仪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RP-R12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逆反射系数示值误差、角度控制、光源稳定性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numPr>
                <w:ilvl w:val="0"/>
                <w:numId w:val="2"/>
              </w:numPr>
              <w:jc w:val="center"/>
              <w:rPr>
                <w:kern w:val="0"/>
                <w:sz w:val="18"/>
                <w:szCs w:val="18"/>
              </w:rPr>
            </w:pP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JJJC-16-014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护栏立柱质量检测仪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DCA-E-22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立柱垂直度测量误差、壁厚测量精度、长度测量误差</w:t>
            </w:r>
          </w:p>
        </w:tc>
      </w:tr>
    </w:tbl>
    <w:p/>
    <w:p>
      <w:pPr>
        <w:spacing w:line="360" w:lineRule="auto"/>
        <w:rPr>
          <w:rFonts w:hint="eastAsia" w:ascii="宋体" w:hAnsi="宋体" w:cs="宋体"/>
          <w:b/>
          <w:bCs/>
          <w:szCs w:val="21"/>
        </w:rPr>
      </w:pPr>
      <w:r>
        <w:rPr>
          <w:rFonts w:hint="eastAsia" w:ascii="宋体" w:hAnsi="宋体" w:cs="宋体"/>
          <w:b/>
          <w:bCs/>
          <w:szCs w:val="21"/>
        </w:rPr>
        <w:t>（六）、服务周期与进度要求</w:t>
      </w:r>
    </w:p>
    <w:p>
      <w:pPr>
        <w:spacing w:line="360" w:lineRule="auto"/>
        <w:rPr>
          <w:rFonts w:hint="eastAsia" w:ascii="宋体" w:hAnsi="宋体" w:cs="宋体"/>
          <w:szCs w:val="21"/>
        </w:rPr>
      </w:pPr>
      <w:r>
        <w:rPr>
          <w:rFonts w:hint="eastAsia" w:ascii="宋体" w:hAnsi="宋体" w:cs="宋体"/>
          <w:szCs w:val="21"/>
        </w:rPr>
        <w:t>1、 响应时效：甲方通知后24小时内对接，48小时内进场开展标定作业；</w:t>
      </w:r>
    </w:p>
    <w:p>
      <w:pPr>
        <w:spacing w:line="360" w:lineRule="auto"/>
        <w:rPr>
          <w:rFonts w:hint="eastAsia" w:ascii="宋体" w:hAnsi="宋体" w:cs="宋体"/>
          <w:szCs w:val="21"/>
        </w:rPr>
      </w:pPr>
      <w:r>
        <w:rPr>
          <w:rFonts w:hint="eastAsia" w:ascii="宋体" w:hAnsi="宋体" w:cs="宋体"/>
          <w:szCs w:val="21"/>
        </w:rPr>
        <w:t>2、 常规周期：小型试验室全套设备标定，3个工作日内完成现场作业，7个工作日内出具全套盖章有效证书及资料；</w:t>
      </w:r>
    </w:p>
    <w:p>
      <w:pPr>
        <w:spacing w:line="360" w:lineRule="auto"/>
        <w:rPr>
          <w:rFonts w:hint="eastAsia" w:ascii="宋体" w:hAnsi="宋体" w:cs="宋体"/>
          <w:szCs w:val="21"/>
        </w:rPr>
      </w:pPr>
      <w:r>
        <w:rPr>
          <w:rFonts w:hint="eastAsia" w:ascii="宋体" w:hAnsi="宋体" w:cs="宋体"/>
          <w:szCs w:val="21"/>
        </w:rPr>
        <w:t>3、 批量/大型试验室：根据设备数量协商进度，分区域、分批次完成，不影响试验室正常试验工作；</w:t>
      </w:r>
    </w:p>
    <w:p>
      <w:pPr>
        <w:spacing w:line="360" w:lineRule="auto"/>
        <w:rPr>
          <w:rFonts w:hint="eastAsia" w:ascii="宋体" w:hAnsi="宋体" w:cs="宋体"/>
          <w:szCs w:val="21"/>
        </w:rPr>
      </w:pPr>
      <w:r>
        <w:rPr>
          <w:rFonts w:hint="eastAsia" w:ascii="宋体" w:hAnsi="宋体" w:cs="宋体"/>
          <w:szCs w:val="21"/>
        </w:rPr>
        <w:t>4、加急要求：遇项目检查、备案、验收紧急情况，乙方须提供加急服务，优先排期、优先出证；</w:t>
      </w:r>
    </w:p>
    <w:p>
      <w:pPr>
        <w:spacing w:line="360" w:lineRule="auto"/>
        <w:rPr>
          <w:rFonts w:hint="eastAsia" w:ascii="宋体" w:hAnsi="宋体" w:cs="宋体"/>
          <w:szCs w:val="21"/>
        </w:rPr>
      </w:pPr>
      <w:r>
        <w:rPr>
          <w:rFonts w:hint="eastAsia" w:ascii="宋体" w:hAnsi="宋体" w:cs="宋体"/>
          <w:szCs w:val="21"/>
        </w:rPr>
        <w:t>5、 进度管控：作业期间每日同步进度，完工后一次性交付全部资料，无拖延、无分批零散交付。</w:t>
      </w:r>
    </w:p>
    <w:p>
      <w:pPr>
        <w:spacing w:line="360" w:lineRule="auto"/>
        <w:rPr>
          <w:rFonts w:hint="eastAsia" w:ascii="宋体" w:hAnsi="宋体" w:cs="宋体"/>
          <w:b/>
          <w:bCs/>
          <w:szCs w:val="21"/>
        </w:rPr>
      </w:pPr>
      <w:r>
        <w:rPr>
          <w:rFonts w:hint="eastAsia" w:ascii="宋体" w:hAnsi="宋体" w:cs="宋体"/>
          <w:b/>
          <w:bCs/>
          <w:szCs w:val="21"/>
        </w:rPr>
        <w:t>（七）、服务质量与验收标准</w:t>
      </w:r>
    </w:p>
    <w:p>
      <w:pPr>
        <w:spacing w:line="360" w:lineRule="auto"/>
        <w:rPr>
          <w:rFonts w:hint="eastAsia" w:ascii="宋体" w:hAnsi="宋体" w:cs="宋体"/>
          <w:szCs w:val="21"/>
        </w:rPr>
      </w:pPr>
      <w:r>
        <w:rPr>
          <w:rFonts w:hint="eastAsia" w:ascii="宋体" w:hAnsi="宋体" w:cs="宋体"/>
          <w:szCs w:val="21"/>
        </w:rPr>
        <w:t>1、作业质量标准</w:t>
      </w:r>
    </w:p>
    <w:p>
      <w:pPr>
        <w:spacing w:line="360" w:lineRule="auto"/>
        <w:rPr>
          <w:rFonts w:hint="eastAsia" w:ascii="宋体" w:hAnsi="宋体" w:cs="宋体"/>
          <w:szCs w:val="21"/>
        </w:rPr>
      </w:pPr>
      <w:r>
        <w:rPr>
          <w:rFonts w:hint="eastAsia" w:ascii="宋体" w:hAnsi="宋体" w:cs="宋体"/>
          <w:szCs w:val="21"/>
        </w:rPr>
        <w:t>（1） 标定流程100%合规，严格按照对应JJG/JJF标准执行，标定点位、量程、精度、误差判定完全符合公路试验检测使用要求；</w:t>
      </w:r>
    </w:p>
    <w:p>
      <w:pPr>
        <w:spacing w:line="360" w:lineRule="auto"/>
        <w:rPr>
          <w:rFonts w:hint="eastAsia" w:ascii="宋体" w:hAnsi="宋体" w:cs="宋体"/>
          <w:szCs w:val="21"/>
        </w:rPr>
      </w:pPr>
      <w:r>
        <w:rPr>
          <w:rFonts w:hint="eastAsia" w:ascii="宋体" w:hAnsi="宋体" w:cs="宋体"/>
          <w:szCs w:val="21"/>
        </w:rPr>
        <w:t>（2）原始记录完整、真实、可追溯，包含环境温湿度、标定时间、操作人员、实测数据、误差计算、设备状态；</w:t>
      </w:r>
    </w:p>
    <w:p>
      <w:pPr>
        <w:spacing w:line="360" w:lineRule="auto"/>
        <w:rPr>
          <w:rFonts w:hint="eastAsia" w:ascii="宋体" w:hAnsi="宋体" w:cs="宋体"/>
          <w:szCs w:val="21"/>
        </w:rPr>
      </w:pPr>
      <w:r>
        <w:rPr>
          <w:rFonts w:hint="eastAsia" w:ascii="宋体" w:hAnsi="宋体" w:cs="宋体"/>
          <w:szCs w:val="21"/>
        </w:rPr>
        <w:t>（3） 作业过程中保护甲方设备，不得造成设备损坏、部件丢失、参数错乱，人为损坏由乙方全额赔偿；</w:t>
      </w:r>
    </w:p>
    <w:p>
      <w:pPr>
        <w:spacing w:line="360" w:lineRule="auto"/>
        <w:rPr>
          <w:rFonts w:hint="eastAsia" w:ascii="宋体" w:hAnsi="宋体" w:cs="宋体"/>
          <w:szCs w:val="21"/>
        </w:rPr>
      </w:pPr>
      <w:r>
        <w:rPr>
          <w:rFonts w:hint="eastAsia" w:ascii="宋体" w:hAnsi="宋体" w:cs="宋体"/>
          <w:szCs w:val="21"/>
        </w:rPr>
        <w:t>（4） 现场文明施工，遵守试验室管理制度，作业完毕清理现场、恢复设备原状。</w:t>
      </w:r>
    </w:p>
    <w:p>
      <w:pPr>
        <w:spacing w:line="360" w:lineRule="auto"/>
        <w:rPr>
          <w:rFonts w:hint="eastAsia" w:ascii="宋体" w:hAnsi="宋体" w:cs="宋体"/>
          <w:szCs w:val="21"/>
        </w:rPr>
      </w:pPr>
      <w:r>
        <w:rPr>
          <w:rFonts w:hint="eastAsia" w:ascii="宋体" w:hAnsi="宋体" w:cs="宋体"/>
          <w:szCs w:val="21"/>
        </w:rPr>
        <w:t>2、成果验收标准</w:t>
      </w:r>
    </w:p>
    <w:p>
      <w:pPr>
        <w:spacing w:line="360" w:lineRule="auto"/>
        <w:rPr>
          <w:rFonts w:hint="eastAsia" w:ascii="宋体" w:hAnsi="宋体" w:cs="宋体"/>
          <w:szCs w:val="21"/>
        </w:rPr>
      </w:pPr>
      <w:r>
        <w:rPr>
          <w:rFonts w:hint="eastAsia" w:ascii="宋体" w:hAnsi="宋体" w:cs="宋体"/>
          <w:szCs w:val="21"/>
        </w:rPr>
        <w:t>（1） 资质合规：所有证书带CNAS有效签章、唯一编号，资质范围全覆盖，无超范围标定；</w:t>
      </w:r>
    </w:p>
    <w:p>
      <w:pPr>
        <w:spacing w:line="360" w:lineRule="auto"/>
        <w:rPr>
          <w:rFonts w:hint="eastAsia" w:ascii="宋体" w:hAnsi="宋体" w:cs="宋体"/>
          <w:szCs w:val="21"/>
        </w:rPr>
      </w:pPr>
      <w:r>
        <w:rPr>
          <w:rFonts w:hint="eastAsia" w:ascii="宋体" w:hAnsi="宋体" w:cs="宋体"/>
          <w:szCs w:val="21"/>
        </w:rPr>
        <w:t>（2） 数据合格：所有在用设备标定结果满足公路工程检测精度要求，不合格设备需出具专项说明及整改建议；</w:t>
      </w:r>
    </w:p>
    <w:p>
      <w:pPr>
        <w:spacing w:line="360" w:lineRule="auto"/>
        <w:rPr>
          <w:rFonts w:hint="eastAsia" w:ascii="宋体" w:hAnsi="宋体" w:cs="宋体"/>
          <w:szCs w:val="21"/>
        </w:rPr>
      </w:pPr>
      <w:r>
        <w:rPr>
          <w:rFonts w:hint="eastAsia" w:ascii="宋体" w:hAnsi="宋体" w:cs="宋体"/>
          <w:szCs w:val="21"/>
        </w:rPr>
        <w:t>（3） 资料齐全：交付校准/检定证书纸质+电子档齐全；</w:t>
      </w:r>
    </w:p>
    <w:p>
      <w:pPr>
        <w:spacing w:line="360" w:lineRule="auto"/>
        <w:rPr>
          <w:rFonts w:hint="eastAsia" w:ascii="宋体" w:hAnsi="宋体" w:cs="宋体"/>
          <w:szCs w:val="21"/>
        </w:rPr>
      </w:pPr>
      <w:r>
        <w:rPr>
          <w:rFonts w:hint="eastAsia" w:ascii="宋体" w:hAnsi="宋体" w:cs="宋体"/>
          <w:szCs w:val="21"/>
        </w:rPr>
        <w:t>（4） 核查通过：交付资料必须满足工地试验室备案、日常巡查、质监检查、交工竣工验收要求，通过主管部门核查；</w:t>
      </w:r>
    </w:p>
    <w:p>
      <w:pPr>
        <w:spacing w:line="360" w:lineRule="auto"/>
        <w:rPr>
          <w:rFonts w:hint="eastAsia" w:ascii="宋体" w:hAnsi="宋体" w:cs="宋体"/>
          <w:szCs w:val="21"/>
        </w:rPr>
      </w:pPr>
      <w:r>
        <w:rPr>
          <w:rFonts w:hint="eastAsia" w:ascii="宋体" w:hAnsi="宋体" w:cs="宋体"/>
          <w:szCs w:val="21"/>
        </w:rPr>
        <w:t>（5）标识规范：所有合格设备计量标识配备齐全、信息准确、有效期清晰，与证书台账一一对应。</w:t>
      </w:r>
    </w:p>
    <w:p>
      <w:pPr>
        <w:spacing w:line="360" w:lineRule="auto"/>
        <w:rPr>
          <w:rFonts w:hint="eastAsia" w:ascii="宋体" w:hAnsi="宋体" w:cs="宋体"/>
          <w:szCs w:val="21"/>
        </w:rPr>
      </w:pPr>
      <w:r>
        <w:rPr>
          <w:rFonts w:hint="eastAsia" w:ascii="宋体" w:hAnsi="宋体" w:cs="宋体"/>
          <w:szCs w:val="21"/>
        </w:rPr>
        <w:t>3、售后质保与整改要求</w:t>
      </w:r>
    </w:p>
    <w:p>
      <w:pPr>
        <w:spacing w:line="360" w:lineRule="auto"/>
        <w:rPr>
          <w:rFonts w:hint="eastAsia" w:ascii="宋体" w:hAnsi="宋体" w:cs="宋体"/>
          <w:szCs w:val="21"/>
        </w:rPr>
      </w:pPr>
      <w:r>
        <w:rPr>
          <w:rFonts w:hint="eastAsia" w:ascii="宋体" w:hAnsi="宋体" w:cs="宋体"/>
          <w:szCs w:val="21"/>
        </w:rPr>
        <w:t>（1） 标定成果质保期不少于12个月，质保期内因乙方标定失误、数据错误、证书问题导致检查不通过，乙方免费重标、重出资料并承担全部责任；</w:t>
      </w:r>
    </w:p>
    <w:p>
      <w:pPr>
        <w:spacing w:line="360" w:lineRule="auto"/>
        <w:rPr>
          <w:rFonts w:hint="eastAsia" w:ascii="宋体" w:hAnsi="宋体" w:cs="宋体"/>
          <w:szCs w:val="21"/>
        </w:rPr>
      </w:pPr>
      <w:r>
        <w:rPr>
          <w:rFonts w:hint="eastAsia" w:ascii="宋体" w:hAnsi="宋体" w:cs="宋体"/>
          <w:szCs w:val="21"/>
        </w:rPr>
        <w:t>（2） 甲方对标定数据有异议时，乙方48小时内到场复核、答疑、复检；</w:t>
      </w:r>
    </w:p>
    <w:p>
      <w:pPr>
        <w:spacing w:line="360" w:lineRule="auto"/>
        <w:rPr>
          <w:rFonts w:hint="eastAsia" w:ascii="宋体" w:hAnsi="宋体" w:cs="宋体"/>
          <w:szCs w:val="21"/>
        </w:rPr>
      </w:pPr>
      <w:r>
        <w:rPr>
          <w:rFonts w:hint="eastAsia" w:ascii="宋体" w:hAnsi="宋体" w:cs="宋体"/>
          <w:szCs w:val="21"/>
        </w:rPr>
        <w:t>（3） 全程配合项目各类检查、审核答疑，无偿提供技术支撑；</w:t>
      </w:r>
    </w:p>
    <w:p>
      <w:pPr>
        <w:spacing w:line="360" w:lineRule="auto"/>
        <w:rPr>
          <w:rFonts w:hint="eastAsia" w:ascii="宋体" w:hAnsi="宋体" w:cs="宋体"/>
          <w:szCs w:val="21"/>
        </w:rPr>
      </w:pPr>
      <w:r>
        <w:rPr>
          <w:rFonts w:hint="eastAsia" w:ascii="宋体" w:hAnsi="宋体" w:cs="宋体"/>
          <w:szCs w:val="21"/>
        </w:rPr>
        <w:t>（4） 验收不合格、资料缺失、标准不符的，乙方须48小时内整改完毕，直至完全合规。</w:t>
      </w:r>
    </w:p>
    <w:p>
      <w:pPr>
        <w:spacing w:line="360" w:lineRule="auto"/>
        <w:rPr>
          <w:rFonts w:hint="eastAsia" w:ascii="宋体" w:hAnsi="宋体" w:cs="宋体"/>
          <w:b/>
          <w:bCs/>
          <w:szCs w:val="21"/>
        </w:rPr>
      </w:pPr>
      <w:r>
        <w:rPr>
          <w:rFonts w:hint="eastAsia" w:ascii="宋体" w:hAnsi="宋体" w:cs="宋体"/>
          <w:b/>
          <w:bCs/>
          <w:szCs w:val="21"/>
        </w:rPr>
        <w:t>（八）、交付成果清单</w:t>
      </w:r>
    </w:p>
    <w:p>
      <w:pPr>
        <w:spacing w:line="360" w:lineRule="auto"/>
        <w:rPr>
          <w:rFonts w:hint="eastAsia" w:ascii="宋体" w:hAnsi="宋体" w:cs="宋体"/>
          <w:szCs w:val="21"/>
        </w:rPr>
      </w:pPr>
      <w:r>
        <w:rPr>
          <w:rFonts w:hint="eastAsia" w:ascii="宋体" w:hAnsi="宋体" w:cs="宋体"/>
          <w:szCs w:val="21"/>
        </w:rPr>
        <w:t>1、 单台设备检定/校准证书（带CNAS章、可溯源查询）；</w:t>
      </w:r>
    </w:p>
    <w:p>
      <w:pPr>
        <w:spacing w:line="360" w:lineRule="auto"/>
        <w:rPr>
          <w:rFonts w:hint="eastAsia" w:ascii="宋体" w:hAnsi="宋体" w:cs="宋体"/>
          <w:szCs w:val="21"/>
        </w:rPr>
      </w:pPr>
      <w:r>
        <w:rPr>
          <w:rFonts w:hint="eastAsia" w:ascii="宋体" w:hAnsi="宋体" w:cs="宋体"/>
          <w:szCs w:val="21"/>
        </w:rPr>
        <w:t>2、试验室设备标定汇总表、有效期台账、检定/校准确认表；</w:t>
      </w:r>
    </w:p>
    <w:p>
      <w:pPr>
        <w:spacing w:line="360" w:lineRule="auto"/>
        <w:rPr>
          <w:rFonts w:hint="eastAsia" w:ascii="宋体" w:hAnsi="宋体" w:cs="宋体"/>
          <w:szCs w:val="21"/>
        </w:rPr>
      </w:pPr>
      <w:r>
        <w:rPr>
          <w:rFonts w:hint="eastAsia" w:ascii="宋体" w:hAnsi="宋体" w:cs="宋体"/>
          <w:szCs w:val="21"/>
        </w:rPr>
        <w:t>4、 乙方CNAS资质附表、作业人员资质复印件（盖章）；</w:t>
      </w:r>
    </w:p>
    <w:p>
      <w:pPr>
        <w:spacing w:line="360" w:lineRule="auto"/>
        <w:rPr>
          <w:rFonts w:hint="eastAsia" w:ascii="宋体" w:hAnsi="宋体" w:cs="宋体"/>
          <w:szCs w:val="21"/>
        </w:rPr>
      </w:pPr>
      <w:r>
        <w:rPr>
          <w:rFonts w:hint="eastAsia" w:ascii="宋体" w:hAnsi="宋体" w:cs="宋体"/>
          <w:szCs w:val="21"/>
        </w:rPr>
        <w:t>5、 超差/异常设备分析报告及整改建议；</w:t>
      </w:r>
    </w:p>
    <w:p>
      <w:pPr>
        <w:spacing w:line="360" w:lineRule="auto"/>
        <w:rPr>
          <w:rFonts w:hint="eastAsia" w:ascii="宋体" w:hAnsi="宋体" w:cs="宋体"/>
          <w:szCs w:val="21"/>
        </w:rPr>
      </w:pPr>
      <w:r>
        <w:rPr>
          <w:rFonts w:hint="eastAsia" w:ascii="宋体" w:hAnsi="宋体" w:cs="宋体"/>
          <w:szCs w:val="21"/>
        </w:rPr>
        <w:t>6、 全部资料电子归档文件</w:t>
      </w:r>
    </w:p>
    <w:p>
      <w:pPr>
        <w:ind w:firstLine="883" w:firstLineChars="200"/>
        <w:rPr>
          <w:rFonts w:hint="eastAsia"/>
          <w:b/>
          <w:bCs/>
          <w:sz w:val="44"/>
          <w:szCs w:val="44"/>
        </w:rPr>
      </w:pPr>
      <w:bookmarkStart w:id="65" w:name="_Toc27239"/>
      <w:bookmarkStart w:id="66" w:name="_Toc2542"/>
      <w:bookmarkStart w:id="67" w:name="_Toc458"/>
      <w:bookmarkStart w:id="68" w:name="_Toc74323459"/>
      <w:bookmarkStart w:id="69" w:name="_Toc27650"/>
      <w:bookmarkStart w:id="70" w:name="_Toc28206"/>
      <w:r>
        <w:rPr>
          <w:rFonts w:hint="eastAsia"/>
          <w:b/>
          <w:bCs/>
          <w:sz w:val="44"/>
          <w:szCs w:val="44"/>
        </w:rPr>
        <w:t>第四章  评审程序、评审方法和评审标准</w:t>
      </w:r>
      <w:bookmarkEnd w:id="65"/>
      <w:bookmarkEnd w:id="66"/>
      <w:bookmarkEnd w:id="67"/>
      <w:bookmarkEnd w:id="68"/>
      <w:bookmarkEnd w:id="69"/>
      <w:bookmarkEnd w:id="70"/>
    </w:p>
    <w:p>
      <w:pPr>
        <w:rPr>
          <w:rFonts w:hint="eastAsia"/>
          <w:b/>
          <w:bCs/>
          <w:sz w:val="32"/>
          <w:szCs w:val="32"/>
        </w:rPr>
      </w:pPr>
    </w:p>
    <w:p>
      <w:pPr>
        <w:jc w:val="center"/>
        <w:rPr>
          <w:rFonts w:hint="eastAsia"/>
          <w:b/>
          <w:bCs/>
          <w:sz w:val="32"/>
          <w:szCs w:val="32"/>
        </w:rPr>
      </w:pPr>
      <w:r>
        <w:rPr>
          <w:rFonts w:hint="eastAsia"/>
          <w:b/>
          <w:bCs/>
          <w:sz w:val="32"/>
          <w:szCs w:val="32"/>
        </w:rPr>
        <w:t>一、评审程序和评审方法</w:t>
      </w:r>
    </w:p>
    <w:p>
      <w:pPr>
        <w:spacing w:line="360" w:lineRule="auto"/>
        <w:ind w:firstLine="482" w:firstLineChars="200"/>
        <w:rPr>
          <w:rFonts w:ascii="黑体" w:hAnsi="黑体" w:eastAsia="黑体" w:cs="宋体"/>
          <w:b/>
          <w:bCs/>
          <w:sz w:val="24"/>
        </w:rPr>
      </w:pPr>
    </w:p>
    <w:p>
      <w:pPr>
        <w:spacing w:line="360" w:lineRule="auto"/>
        <w:ind w:firstLine="482" w:firstLineChars="200"/>
        <w:rPr>
          <w:rFonts w:hint="eastAsia"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.资格审查</w:t>
      </w:r>
    </w:p>
    <w:p>
      <w:pPr>
        <w:snapToGrid w:val="0"/>
        <w:spacing w:line="360" w:lineRule="auto"/>
        <w:ind w:firstLine="420" w:firstLineChars="200"/>
        <w:rPr>
          <w:rFonts w:ascii="宋体" w:hAnsi="宋体"/>
          <w:szCs w:val="21"/>
        </w:rPr>
      </w:pPr>
      <w:r>
        <w:rPr>
          <w:rFonts w:ascii="宋体" w:hAnsi="宋体" w:cs="宋体"/>
          <w:szCs w:val="21"/>
        </w:rPr>
        <w:t>1</w:t>
      </w:r>
      <w:r>
        <w:rPr>
          <w:rFonts w:hint="eastAsia" w:ascii="宋体" w:hAnsi="宋体" w:cs="宋体"/>
          <w:szCs w:val="21"/>
        </w:rPr>
        <w:t>.1</w:t>
      </w:r>
      <w:r>
        <w:rPr>
          <w:rFonts w:hint="eastAsia" w:ascii="宋体" w:hAnsi="宋体"/>
          <w:szCs w:val="21"/>
        </w:rPr>
        <w:t>响应文件开启后，评标小组依法对供应商的资格证明文件进行审查。</w:t>
      </w:r>
    </w:p>
    <w:p>
      <w:pPr>
        <w:spacing w:line="360" w:lineRule="auto"/>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.2资格审查标准为本响应文件中载明对供应商资格要求的条件。资格审查采用合格制，凡符合采购文件规定的供应商资格要求的响应文件均通过资格审查。</w:t>
      </w:r>
    </w:p>
    <w:p>
      <w:pPr>
        <w:spacing w:line="360" w:lineRule="auto"/>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.3供应商有下列情形之一的，资格审查不通过，其响应文件按无效响应处理：</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）不具备采购文件中规定的资格要求的；</w:t>
      </w:r>
    </w:p>
    <w:p>
      <w:pPr>
        <w:spacing w:line="360" w:lineRule="auto"/>
        <w:ind w:firstLine="420" w:firstLineChars="200"/>
        <w:rPr>
          <w:rFonts w:hint="eastAsia" w:ascii="宋体" w:hAnsi="宋体" w:cs="宋体"/>
          <w:szCs w:val="21"/>
        </w:rPr>
      </w:pPr>
      <w:r>
        <w:rPr>
          <w:rFonts w:hint="eastAsia" w:ascii="宋体" w:hAnsi="宋体" w:cs="宋体"/>
          <w:szCs w:val="21"/>
        </w:rPr>
        <w:t>（2）响应文件的资格证明文件缺少任一项“供应商须知”资格证明文件规定的“必须提供”的文件资料的；</w:t>
      </w:r>
    </w:p>
    <w:p>
      <w:pPr>
        <w:spacing w:line="360" w:lineRule="auto"/>
        <w:ind w:firstLine="420" w:firstLineChars="200"/>
        <w:rPr>
          <w:rFonts w:hint="eastAsia" w:ascii="宋体" w:hAnsi="宋体" w:cs="宋体"/>
          <w:szCs w:val="21"/>
        </w:rPr>
      </w:pPr>
      <w:r>
        <w:rPr>
          <w:rFonts w:hint="eastAsia" w:ascii="宋体" w:hAnsi="宋体" w:cs="宋体"/>
          <w:szCs w:val="21"/>
        </w:rPr>
        <w:t>（3）响应文件中的资格证明文件出现任一项不符合“供应商须知”资格证明文件规定的“必须提供”的文件资料要求或者无效的；</w:t>
      </w:r>
    </w:p>
    <w:p>
      <w:pPr>
        <w:spacing w:line="360" w:lineRule="auto"/>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.4通过资格审查的合格供应商不足3家的，不得进入符合性审查环节，</w:t>
      </w:r>
      <w:r>
        <w:rPr>
          <w:rFonts w:hint="eastAsia" w:ascii="宋体" w:hAnsi="宋体"/>
          <w:szCs w:val="21"/>
        </w:rPr>
        <w:t>采购人应当重新开展采购活动。</w:t>
      </w:r>
    </w:p>
    <w:p>
      <w:pPr>
        <w:spacing w:line="360" w:lineRule="auto"/>
        <w:ind w:firstLine="482" w:firstLineChars="200"/>
        <w:rPr>
          <w:rFonts w:hint="eastAsia"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.符合性审查</w:t>
      </w:r>
    </w:p>
    <w:p>
      <w:pPr>
        <w:spacing w:line="360" w:lineRule="auto"/>
        <w:ind w:firstLine="420" w:firstLineChars="200"/>
        <w:rPr>
          <w:rFonts w:hint="eastAsia" w:ascii="宋体" w:hAnsi="宋体" w:cs="宋体"/>
          <w:szCs w:val="21"/>
        </w:rPr>
      </w:pPr>
      <w:bookmarkStart w:id="71" w:name="_Hlk42528882"/>
      <w:r>
        <w:rPr>
          <w:rFonts w:ascii="宋体" w:hAnsi="宋体" w:cs="宋体"/>
          <w:szCs w:val="21"/>
        </w:rPr>
        <w:t>2.1</w:t>
      </w:r>
      <w:r>
        <w:rPr>
          <w:rFonts w:hint="eastAsia" w:ascii="宋体" w:hAnsi="宋体" w:cs="宋体"/>
          <w:szCs w:val="21"/>
        </w:rPr>
        <w:t>由评标小组对</w:t>
      </w:r>
      <w:r>
        <w:rPr>
          <w:rFonts w:hint="eastAsia" w:ascii="宋体" w:hAnsi="宋体"/>
          <w:szCs w:val="21"/>
        </w:rPr>
        <w:t>通过资格审查的合格供应商</w:t>
      </w:r>
      <w:r>
        <w:rPr>
          <w:rFonts w:hint="eastAsia" w:ascii="宋体" w:hAnsi="宋体" w:cs="宋体"/>
          <w:szCs w:val="21"/>
        </w:rPr>
        <w:t>的响应文件的竞标报价、商务、技术等实质性要求进行符合性审查，以确定其是否满足采购文件的实质性要求。</w:t>
      </w:r>
    </w:p>
    <w:bookmarkEnd w:id="71"/>
    <w:p>
      <w:pPr>
        <w:spacing w:line="360" w:lineRule="auto"/>
        <w:ind w:firstLine="420" w:firstLineChars="200"/>
        <w:rPr>
          <w:rFonts w:ascii="宋体" w:hAnsi="宋体" w:cs="宋体"/>
          <w:szCs w:val="21"/>
        </w:rPr>
      </w:pPr>
      <w:r>
        <w:rPr>
          <w:rFonts w:ascii="宋体" w:hAnsi="宋体" w:cs="宋体"/>
          <w:szCs w:val="21"/>
        </w:rPr>
        <w:t>2.2</w:t>
      </w:r>
      <w:r>
        <w:rPr>
          <w:rFonts w:hint="eastAsia" w:ascii="宋体" w:hAnsi="宋体" w:cs="宋体"/>
          <w:szCs w:val="21"/>
        </w:rPr>
        <w:t>评标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spacing w:val="-6"/>
          <w:szCs w:val="21"/>
        </w:rPr>
      </w:pPr>
      <w:r>
        <w:rPr>
          <w:rFonts w:ascii="宋体" w:hAnsi="宋体" w:cs="宋体"/>
          <w:szCs w:val="21"/>
        </w:rPr>
        <w:t>2</w:t>
      </w:r>
      <w:r>
        <w:rPr>
          <w:rFonts w:hint="eastAsia" w:ascii="宋体" w:hAnsi="宋体" w:cs="宋体"/>
          <w:szCs w:val="21"/>
        </w:rPr>
        <w:t>.</w:t>
      </w:r>
      <w:r>
        <w:rPr>
          <w:rFonts w:ascii="宋体" w:hAnsi="宋体" w:cs="宋体"/>
          <w:szCs w:val="21"/>
        </w:rPr>
        <w:t>3</w:t>
      </w:r>
      <w:r>
        <w:rPr>
          <w:rFonts w:hint="eastAsia" w:ascii="宋体" w:hAnsi="宋体" w:cs="宋体"/>
          <w:szCs w:val="21"/>
        </w:rPr>
        <w:t>评标小组要求供应商澄清、说明或者更正响应文件应当以</w:t>
      </w:r>
      <w:r>
        <w:rPr>
          <w:rFonts w:hint="eastAsia" w:ascii="宋体" w:hAnsi="宋体" w:cs="Courier New"/>
          <w:szCs w:val="21"/>
        </w:rPr>
        <w:t>书面形式办理。供应商的澄清、说明或者补正必须采用书面形式，并加盖公章，或者由法定代表人或者其授权的代表签字。</w:t>
      </w:r>
    </w:p>
    <w:p>
      <w:pPr>
        <w:spacing w:line="360" w:lineRule="auto"/>
        <w:ind w:firstLine="396" w:firstLineChars="200"/>
        <w:rPr>
          <w:rFonts w:hint="eastAsia" w:ascii="宋体" w:hAnsi="宋体" w:cs="宋体"/>
          <w:szCs w:val="21"/>
        </w:rPr>
      </w:pPr>
      <w:r>
        <w:rPr>
          <w:rFonts w:ascii="宋体" w:hAnsi="宋体" w:cs="宋体"/>
          <w:spacing w:val="-6"/>
          <w:szCs w:val="21"/>
        </w:rPr>
        <w:t>2.4</w:t>
      </w:r>
      <w:r>
        <w:rPr>
          <w:rFonts w:hint="eastAsia" w:ascii="宋体" w:hAnsi="宋体" w:cs="宋体"/>
          <w:szCs w:val="21"/>
        </w:rPr>
        <w:t xml:space="preserve">首次响应文件报价出现前后不一致的，按照下列规定修正： </w:t>
      </w:r>
    </w:p>
    <w:p>
      <w:pPr>
        <w:spacing w:line="360" w:lineRule="auto"/>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pPr>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pPr>
        <w:spacing w:line="360" w:lineRule="auto"/>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商务技术报价评标</w:t>
      </w:r>
    </w:p>
    <w:p>
      <w:pPr>
        <w:spacing w:line="360" w:lineRule="auto"/>
        <w:ind w:firstLine="420" w:firstLineChars="200"/>
        <w:rPr>
          <w:rFonts w:hint="eastAsia" w:ascii="宋体" w:hAnsi="宋体" w:cs="宋体"/>
          <w:szCs w:val="21"/>
        </w:rPr>
      </w:pPr>
      <w:r>
        <w:rPr>
          <w:rFonts w:hint="eastAsia" w:ascii="宋体" w:hAnsi="宋体" w:cs="宋体"/>
          <w:szCs w:val="21"/>
        </w:rPr>
        <w:t>在评标时，如发现下列情形之一的，将被视为响应文件无效处理：</w:t>
      </w:r>
    </w:p>
    <w:p>
      <w:pPr>
        <w:spacing w:line="360" w:lineRule="auto"/>
        <w:ind w:firstLine="420" w:firstLineChars="200"/>
        <w:rPr>
          <w:rFonts w:hint="eastAsia" w:ascii="宋体" w:hAnsi="宋体" w:cs="宋体"/>
          <w:szCs w:val="21"/>
        </w:rPr>
      </w:pPr>
      <w:r>
        <w:rPr>
          <w:rFonts w:hint="eastAsia" w:ascii="宋体" w:hAnsi="宋体" w:cs="宋体"/>
          <w:szCs w:val="21"/>
        </w:rPr>
        <w:t>（1）商务技术评标</w:t>
      </w:r>
    </w:p>
    <w:p>
      <w:pPr>
        <w:spacing w:line="360" w:lineRule="auto"/>
        <w:ind w:firstLine="420" w:firstLineChars="200"/>
        <w:rPr>
          <w:rFonts w:hint="eastAsia" w:ascii="宋体" w:hAnsi="宋体" w:cs="宋体"/>
          <w:szCs w:val="21"/>
        </w:rPr>
      </w:pPr>
      <w:r>
        <w:rPr>
          <w:rFonts w:hint="eastAsia" w:ascii="宋体" w:hAnsi="宋体" w:cs="宋体"/>
          <w:szCs w:val="21"/>
        </w:rPr>
        <w:t>1）响应文件未按采购文件要求签署、盖章；</w:t>
      </w:r>
    </w:p>
    <w:p>
      <w:pPr>
        <w:spacing w:line="360" w:lineRule="auto"/>
        <w:ind w:firstLine="420" w:firstLineChars="200"/>
        <w:rPr>
          <w:rFonts w:hint="eastAsia" w:ascii="宋体" w:hAnsi="宋体" w:cs="宋体"/>
          <w:szCs w:val="21"/>
        </w:rPr>
      </w:pPr>
      <w:r>
        <w:rPr>
          <w:rFonts w:hint="eastAsia" w:ascii="宋体" w:hAnsi="宋体" w:cs="宋体"/>
          <w:szCs w:val="21"/>
        </w:rPr>
        <w:t xml:space="preserve">2）委托代理人未能出具有效身份证或者出具的身份证与授权委托书中的信息不符的； </w:t>
      </w:r>
    </w:p>
    <w:p>
      <w:pPr>
        <w:spacing w:line="360" w:lineRule="auto"/>
        <w:ind w:firstLine="420" w:firstLineChars="200"/>
        <w:rPr>
          <w:rFonts w:hint="eastAsia" w:ascii="宋体" w:hAnsi="宋体" w:cs="宋体"/>
          <w:szCs w:val="21"/>
        </w:rPr>
      </w:pPr>
      <w:r>
        <w:rPr>
          <w:rFonts w:hint="eastAsia" w:ascii="宋体" w:hAnsi="宋体" w:cs="宋体"/>
          <w:szCs w:val="21"/>
        </w:rPr>
        <w:t>3）未对竞标有效期作出响应或者响应文件承诺的竞标有效期不满足采购文件要求；</w:t>
      </w:r>
    </w:p>
    <w:p>
      <w:pPr>
        <w:spacing w:line="360" w:lineRule="auto"/>
        <w:ind w:firstLine="420" w:firstLineChars="200"/>
        <w:rPr>
          <w:rFonts w:hint="eastAsia" w:ascii="宋体" w:hAnsi="宋体" w:cs="宋体"/>
          <w:szCs w:val="21"/>
        </w:rPr>
      </w:pPr>
      <w:r>
        <w:rPr>
          <w:rFonts w:hint="eastAsia" w:ascii="宋体" w:hAnsi="宋体" w:cs="宋体"/>
          <w:szCs w:val="21"/>
        </w:rPr>
        <w:t>4）响应文件的实质性内容未使用中文表述、使用计量单位不符合采购文件要求；</w:t>
      </w:r>
    </w:p>
    <w:p>
      <w:pPr>
        <w:spacing w:line="360" w:lineRule="auto"/>
        <w:ind w:firstLine="420" w:firstLineChars="200"/>
        <w:rPr>
          <w:rFonts w:hint="eastAsia" w:ascii="宋体" w:hAnsi="宋体" w:cs="宋体"/>
          <w:szCs w:val="21"/>
        </w:rPr>
      </w:pPr>
      <w:r>
        <w:rPr>
          <w:rFonts w:hint="eastAsia" w:ascii="宋体" w:hAnsi="宋体" w:cs="宋体"/>
          <w:szCs w:val="21"/>
        </w:rPr>
        <w:t>5）响应文件中的文件资料因填写不齐全或者内容虚假或者出现其他情形而导致被评标小组认定无效；</w:t>
      </w:r>
    </w:p>
    <w:p>
      <w:pPr>
        <w:spacing w:line="360" w:lineRule="auto"/>
        <w:ind w:firstLine="420" w:firstLineChars="200"/>
        <w:rPr>
          <w:rFonts w:hint="eastAsia" w:ascii="宋体" w:hAnsi="宋体" w:cs="宋体"/>
          <w:szCs w:val="21"/>
        </w:rPr>
      </w:pPr>
      <w:r>
        <w:rPr>
          <w:rFonts w:hint="eastAsia" w:ascii="宋体" w:hAnsi="宋体" w:cs="宋体"/>
          <w:szCs w:val="21"/>
        </w:rPr>
        <w:t>6）响应文件含有采购人不能接受的附加条件；</w:t>
      </w:r>
    </w:p>
    <w:p>
      <w:pPr>
        <w:spacing w:line="360" w:lineRule="auto"/>
        <w:ind w:firstLine="420" w:firstLineChars="200"/>
        <w:rPr>
          <w:rFonts w:hint="eastAsia" w:ascii="宋体" w:hAnsi="宋体" w:cs="宋体"/>
          <w:szCs w:val="21"/>
        </w:rPr>
      </w:pPr>
      <w:r>
        <w:rPr>
          <w:rFonts w:hint="eastAsia" w:ascii="宋体" w:hAnsi="宋体" w:cs="宋体"/>
          <w:szCs w:val="21"/>
        </w:rPr>
        <w:t>7）虚假竞标，或者出现其他情形而导致被评标小组认定无效；</w:t>
      </w:r>
    </w:p>
    <w:p>
      <w:pPr>
        <w:spacing w:line="360" w:lineRule="auto"/>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）报价评标</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 xml:space="preserve"> </w:t>
      </w:r>
      <w:r>
        <w:rPr>
          <w:rFonts w:hint="eastAsia" w:ascii="宋体" w:hAnsi="宋体" w:cs="宋体"/>
          <w:szCs w:val="21"/>
        </w:rPr>
        <w:t>响应文件未提供“供应商须知” 中规定的“报价表”；</w:t>
      </w:r>
    </w:p>
    <w:p>
      <w:pPr>
        <w:spacing w:line="360" w:lineRule="auto"/>
        <w:ind w:firstLine="420" w:firstLineChars="200"/>
        <w:rPr>
          <w:rFonts w:hint="eastAsia" w:ascii="宋体" w:hAnsi="宋体" w:cs="宋体"/>
          <w:szCs w:val="21"/>
        </w:rPr>
      </w:pPr>
      <w:r>
        <w:rPr>
          <w:rFonts w:hint="eastAsia" w:ascii="宋体" w:hAnsi="宋体" w:cs="宋体"/>
          <w:szCs w:val="21"/>
        </w:rPr>
        <w:t>2）未采用人民币报价；</w:t>
      </w:r>
    </w:p>
    <w:p>
      <w:pPr>
        <w:spacing w:line="360" w:lineRule="auto"/>
        <w:ind w:firstLine="420" w:firstLineChars="200"/>
        <w:rPr>
          <w:rFonts w:hint="eastAsia" w:ascii="宋体" w:hAnsi="宋体" w:cs="宋体"/>
          <w:szCs w:val="21"/>
        </w:rPr>
      </w:pPr>
      <w:r>
        <w:rPr>
          <w:rFonts w:hint="eastAsia" w:ascii="宋体" w:hAnsi="宋体" w:cs="宋体"/>
          <w:szCs w:val="21"/>
        </w:rPr>
        <w:t>3）供应商未就所竞标进行报价或者存在漏项报价；供应商未就所竞标的单项内容作唯一报价；供应商未就所竞标的全部内容作完整唯一总价报价；</w:t>
      </w:r>
    </w:p>
    <w:p>
      <w:pPr>
        <w:spacing w:line="360" w:lineRule="auto"/>
        <w:ind w:firstLine="420" w:firstLineChars="200"/>
        <w:rPr>
          <w:rFonts w:hint="eastAsia" w:ascii="宋体" w:hAnsi="宋体" w:cs="宋体"/>
          <w:szCs w:val="21"/>
        </w:rPr>
      </w:pPr>
      <w:r>
        <w:rPr>
          <w:rFonts w:hint="eastAsia" w:ascii="宋体" w:hAnsi="宋体" w:cs="宋体"/>
          <w:szCs w:val="21"/>
        </w:rPr>
        <w:t>4）竞标报价超规定的采购预算金额；</w:t>
      </w:r>
    </w:p>
    <w:p>
      <w:pPr>
        <w:spacing w:line="360" w:lineRule="auto"/>
        <w:ind w:firstLine="420" w:firstLineChars="200"/>
        <w:rPr>
          <w:rFonts w:hint="eastAsia" w:ascii="宋体" w:hAnsi="宋体" w:cs="宋体"/>
          <w:szCs w:val="21"/>
        </w:rPr>
      </w:pPr>
      <w:r>
        <w:rPr>
          <w:rFonts w:hint="eastAsia" w:ascii="宋体" w:hAnsi="宋体" w:cs="宋体"/>
          <w:szCs w:val="21"/>
        </w:rPr>
        <w:t>5）</w:t>
      </w:r>
      <w:r>
        <w:rPr>
          <w:rFonts w:hint="eastAsia" w:ascii="宋体" w:hAnsi="宋体"/>
          <w:szCs w:val="21"/>
        </w:rPr>
        <w:t>响应文件响应的标的数量及单位与采购文件要求实质性不一致的。</w:t>
      </w:r>
    </w:p>
    <w:p>
      <w:pPr>
        <w:spacing w:line="360" w:lineRule="auto"/>
        <w:ind w:firstLine="420" w:firstLineChars="200"/>
        <w:rPr>
          <w:rFonts w:hint="eastAsia" w:ascii="宋体" w:hAnsi="宋体" w:cs="宋体"/>
          <w:szCs w:val="21"/>
        </w:rPr>
      </w:pPr>
      <w:r>
        <w:rPr>
          <w:rFonts w:ascii="宋体" w:hAnsi="宋体" w:cs="宋体"/>
          <w:szCs w:val="21"/>
        </w:rPr>
        <w:t>2.6</w:t>
      </w:r>
      <w:r>
        <w:rPr>
          <w:rFonts w:hint="eastAsia" w:ascii="宋体" w:hAnsi="宋体" w:cs="宋体"/>
          <w:szCs w:val="21"/>
        </w:rPr>
        <w:t>评标小组对响应文件进行评标，未实质性响应采购文件的响应文件按无效处理，评标小组应当将资格和符合性不通过的情况告知有关供应商。评标小组从符合采购文件规定的相应资格条件的供应商名单中确定不少于3家的供应商参加评选。</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3</w:t>
      </w:r>
      <w:r>
        <w:rPr>
          <w:rFonts w:ascii="黑体" w:hAnsi="黑体" w:eastAsia="黑体" w:cs="宋体"/>
          <w:b/>
          <w:bCs/>
          <w:sz w:val="24"/>
        </w:rPr>
        <w:t>.</w:t>
      </w:r>
      <w:r>
        <w:rPr>
          <w:rFonts w:hint="eastAsia" w:ascii="黑体" w:hAnsi="黑体" w:eastAsia="黑体" w:cs="宋体"/>
          <w:b/>
          <w:bCs/>
          <w:sz w:val="24"/>
        </w:rPr>
        <w:t>比较与评价</w:t>
      </w:r>
    </w:p>
    <w:p>
      <w:pPr>
        <w:spacing w:line="360" w:lineRule="auto"/>
        <w:ind w:firstLine="420" w:firstLineChars="200"/>
        <w:rPr>
          <w:rFonts w:hint="eastAsia" w:ascii="宋体" w:hAnsi="宋体" w:cs="宋体"/>
          <w:szCs w:val="21"/>
        </w:rPr>
      </w:pPr>
      <w:r>
        <w:rPr>
          <w:rFonts w:hint="eastAsia" w:ascii="宋体" w:hAnsi="宋体" w:cs="宋体"/>
          <w:szCs w:val="21"/>
        </w:rPr>
        <w:t>3</w:t>
      </w:r>
      <w:r>
        <w:rPr>
          <w:rFonts w:ascii="宋体" w:hAnsi="宋体" w:cs="宋体"/>
          <w:szCs w:val="21"/>
        </w:rPr>
        <w:t>.1</w:t>
      </w:r>
      <w:r>
        <w:rPr>
          <w:rFonts w:hint="eastAsia" w:ascii="宋体" w:hAnsi="宋体" w:cs="宋体"/>
          <w:szCs w:val="21"/>
        </w:rPr>
        <w:t>评审方法：综合评分法。</w:t>
      </w:r>
    </w:p>
    <w:p>
      <w:pPr>
        <w:spacing w:line="360" w:lineRule="auto"/>
        <w:ind w:firstLine="420" w:firstLineChars="200"/>
        <w:rPr>
          <w:rFonts w:hint="eastAsia"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经评标小组确定最终符合采购需求和报价的供应商后，由评标小组采用综合评分法对供应商的响应文件进行综合评分。</w:t>
      </w:r>
    </w:p>
    <w:p>
      <w:pPr>
        <w:spacing w:line="360" w:lineRule="auto"/>
        <w:ind w:firstLine="420" w:firstLineChars="200"/>
        <w:rPr>
          <w:rFonts w:hint="eastAsia" w:ascii="宋体" w:hAnsi="宋体" w:cs="宋体"/>
          <w:szCs w:val="21"/>
        </w:rPr>
      </w:pPr>
      <w:r>
        <w:rPr>
          <w:rFonts w:hint="eastAsia" w:ascii="宋体" w:hAnsi="宋体" w:cs="宋体"/>
          <w:szCs w:val="21"/>
        </w:rPr>
        <w:t>3</w:t>
      </w:r>
      <w:r>
        <w:rPr>
          <w:rFonts w:ascii="宋体" w:hAnsi="宋体" w:cs="宋体"/>
          <w:szCs w:val="21"/>
        </w:rPr>
        <w:t>.3</w:t>
      </w:r>
      <w:r>
        <w:rPr>
          <w:rFonts w:hint="eastAsia" w:ascii="宋体" w:hAnsi="宋体" w:cs="宋体"/>
          <w:szCs w:val="21"/>
        </w:rPr>
        <w:t>评审时，评标小组各成员应当独立对每个有效响应的文件进行评价、打分，然后汇总每个供应商每项评分因素的得分。</w:t>
      </w:r>
    </w:p>
    <w:p>
      <w:pPr>
        <w:spacing w:line="360" w:lineRule="auto"/>
        <w:ind w:firstLine="420" w:firstLineChars="200"/>
        <w:rPr>
          <w:rFonts w:hint="eastAsia" w:ascii="宋体" w:hAnsi="宋体" w:cs="宋体"/>
          <w:szCs w:val="21"/>
        </w:rPr>
      </w:pPr>
      <w:r>
        <w:rPr>
          <w:rFonts w:hint="eastAsia" w:ascii="宋体" w:hAnsi="宋体" w:cs="宋体"/>
          <w:szCs w:val="21"/>
        </w:rPr>
        <w:t>（1）评标小组按照采购文件中规定的评审标准计算各供应商的报价得分。项目评审过程中，不得去掉最后报价中的最高报价和最低报价。</w:t>
      </w:r>
    </w:p>
    <w:p>
      <w:pPr>
        <w:spacing w:line="360" w:lineRule="auto"/>
        <w:ind w:firstLine="420" w:firstLineChars="200"/>
        <w:rPr>
          <w:rFonts w:ascii="宋体" w:hAnsi="宋体" w:cs="宋体"/>
          <w:szCs w:val="21"/>
        </w:rPr>
      </w:pPr>
      <w:r>
        <w:rPr>
          <w:rFonts w:hint="eastAsia" w:ascii="宋体" w:hAnsi="宋体" w:cs="宋体"/>
          <w:szCs w:val="21"/>
        </w:rPr>
        <w:t>（2）各供应商的得分为评标小组所有成员的有效评分的算术平均数。</w:t>
      </w:r>
    </w:p>
    <w:p>
      <w:pPr>
        <w:spacing w:line="360" w:lineRule="auto"/>
        <w:ind w:firstLine="420" w:firstLineChars="200"/>
        <w:rPr>
          <w:rFonts w:hint="eastAsia"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4由评标小组根据综合评分情况，按照评审得分由高到低顺序推荐3名以上成交候选供应商，并编写评审报告。评审得分相同的，按照报价由低到高的顺序推荐。采购人应当确定评标小组推荐排名第1名的成交候选人为成交供应商，排名在成交竞标人后的竞标人为成交竞标人候选人。如成交候选人放弃中标、因不可抗力提出不能履行合同，或者采购文件规定应当提交履约保证金而在规定的期限内未能提交的，如竞标人被取消成交资格或终止合同的，由成交竞标人候选人按排名依次递补或重新开展采购活动。</w:t>
      </w:r>
    </w:p>
    <w:p>
      <w:pPr>
        <w:spacing w:line="360" w:lineRule="auto"/>
        <w:ind w:firstLine="420" w:firstLineChars="200"/>
        <w:rPr>
          <w:rFonts w:hint="eastAsia" w:ascii="宋体" w:hAnsi="宋体" w:cs="宋体"/>
          <w:szCs w:val="21"/>
        </w:rPr>
      </w:pPr>
      <w:r>
        <w:rPr>
          <w:rFonts w:hint="eastAsia" w:ascii="宋体" w:hAnsi="宋体"/>
          <w:kern w:val="0"/>
          <w:szCs w:val="21"/>
        </w:rPr>
        <w:t>3</w:t>
      </w:r>
      <w:r>
        <w:rPr>
          <w:rFonts w:ascii="宋体" w:hAnsi="宋体"/>
          <w:kern w:val="0"/>
          <w:szCs w:val="21"/>
        </w:rPr>
        <w:t>.</w:t>
      </w:r>
      <w:r>
        <w:rPr>
          <w:rFonts w:hint="eastAsia" w:ascii="宋体" w:hAnsi="宋体"/>
          <w:kern w:val="0"/>
          <w:szCs w:val="21"/>
        </w:rPr>
        <w:t>5评审报告应当由评标小组全体人员签字认可。评标小组成员对评审报告有异议的，评标小组按照少数服从多数的原则推荐成交候选供应商，采购程序继续进行。对评审报告有异议的评标小组成员，应当在报告上签署不同意见并说明理由，由评标小组书面记录相关情况。评标小组成员拒绝在报告上签字又不书面说明其不同意见和理由的，视为同意评审报告。</w:t>
      </w:r>
    </w:p>
    <w:p>
      <w:pPr>
        <w:spacing w:line="360" w:lineRule="auto"/>
        <w:jc w:val="center"/>
        <w:rPr>
          <w:rFonts w:hint="eastAsia" w:ascii="宋体" w:hAnsi="宋体"/>
          <w:b/>
          <w:sz w:val="32"/>
          <w:szCs w:val="32"/>
        </w:rPr>
      </w:pPr>
    </w:p>
    <w:p>
      <w:pPr>
        <w:spacing w:line="360" w:lineRule="auto"/>
        <w:ind w:firstLine="3213" w:firstLineChars="1000"/>
        <w:rPr>
          <w:rFonts w:hint="eastAsia" w:ascii="宋体" w:hAnsi="宋体"/>
          <w:b/>
          <w:sz w:val="32"/>
          <w:szCs w:val="32"/>
        </w:rPr>
      </w:pPr>
    </w:p>
    <w:p>
      <w:pPr>
        <w:spacing w:line="360" w:lineRule="auto"/>
        <w:ind w:firstLine="3213" w:firstLineChars="1000"/>
        <w:rPr>
          <w:rFonts w:ascii="宋体" w:hAnsi="宋体"/>
          <w:b/>
          <w:sz w:val="32"/>
          <w:szCs w:val="32"/>
        </w:rPr>
      </w:pPr>
      <w:r>
        <w:rPr>
          <w:rFonts w:hint="eastAsia" w:ascii="宋体" w:hAnsi="宋体"/>
          <w:b/>
          <w:sz w:val="32"/>
          <w:szCs w:val="32"/>
        </w:rPr>
        <w:t>二、评审标准</w:t>
      </w:r>
    </w:p>
    <w:p>
      <w:pPr>
        <w:spacing w:line="360" w:lineRule="auto"/>
        <w:ind w:firstLine="422" w:firstLineChars="200"/>
        <w:rPr>
          <w:rFonts w:hint="eastAsia" w:ascii="宋体" w:hAnsi="宋体"/>
          <w:b/>
          <w:szCs w:val="21"/>
        </w:rPr>
      </w:pPr>
      <w:r>
        <w:rPr>
          <w:rFonts w:hint="eastAsia" w:ascii="宋体" w:hAnsi="宋体"/>
          <w:b/>
          <w:szCs w:val="21"/>
        </w:rPr>
        <w:t>资格评审：</w:t>
      </w:r>
    </w:p>
    <w:p>
      <w:pPr>
        <w:numPr>
          <w:ilvl w:val="0"/>
          <w:numId w:val="3"/>
        </w:numPr>
        <w:spacing w:line="360" w:lineRule="auto"/>
        <w:ind w:firstLine="420" w:firstLineChars="200"/>
        <w:rPr>
          <w:rFonts w:hint="eastAsia" w:ascii="宋体" w:hAnsi="宋体"/>
          <w:bCs/>
          <w:szCs w:val="21"/>
        </w:rPr>
      </w:pPr>
      <w:r>
        <w:rPr>
          <w:rFonts w:hint="eastAsia" w:ascii="宋体" w:hAnsi="宋体"/>
          <w:bCs/>
          <w:szCs w:val="21"/>
        </w:rPr>
        <w:t>有效的营业执照或事业单位法人证书副本复印件（复印件并加盖单位公章）；</w:t>
      </w:r>
    </w:p>
    <w:p>
      <w:pPr>
        <w:spacing w:line="360" w:lineRule="auto"/>
        <w:ind w:firstLine="420" w:firstLineChars="200"/>
        <w:rPr>
          <w:rFonts w:hint="eastAsia" w:ascii="宋体" w:hAnsi="宋体"/>
          <w:bCs/>
          <w:szCs w:val="21"/>
        </w:rPr>
      </w:pPr>
      <w:r>
        <w:rPr>
          <w:rFonts w:hint="eastAsia" w:ascii="宋体" w:hAnsi="宋体"/>
          <w:bCs/>
          <w:szCs w:val="21"/>
        </w:rPr>
        <w:t>2、法定代表人（负责人）完整有效的身份证复印件（第二代身份证必须提供正反面复印件，同时要加盖单位公章）；</w:t>
      </w:r>
    </w:p>
    <w:p>
      <w:pPr>
        <w:spacing w:line="360" w:lineRule="auto"/>
        <w:ind w:firstLine="420" w:firstLineChars="200"/>
        <w:rPr>
          <w:rFonts w:hint="eastAsia" w:ascii="宋体" w:hAnsi="宋体"/>
          <w:bCs/>
          <w:szCs w:val="21"/>
        </w:rPr>
      </w:pPr>
      <w:r>
        <w:rPr>
          <w:rFonts w:hint="eastAsia" w:ascii="宋体" w:hAnsi="宋体"/>
          <w:bCs/>
          <w:szCs w:val="21"/>
        </w:rPr>
        <w:t xml:space="preserve">3、法定代表人（负责人）授权委托书（格式见第五章）和委托代理人完整有效的身份证复印件（委托代理时必须提供（第二代身份证必须提供正反面复印件，同时要加盖单位公章）； </w:t>
      </w:r>
    </w:p>
    <w:p>
      <w:pPr>
        <w:spacing w:line="360" w:lineRule="auto"/>
        <w:ind w:firstLine="420" w:firstLineChars="200"/>
        <w:rPr>
          <w:rFonts w:hint="eastAsia" w:ascii="宋体" w:hAnsi="宋体"/>
          <w:bCs/>
          <w:szCs w:val="21"/>
        </w:rPr>
      </w:pPr>
      <w:r>
        <w:rPr>
          <w:rFonts w:hint="eastAsia" w:ascii="宋体" w:hAnsi="宋体"/>
          <w:bCs/>
          <w:szCs w:val="21"/>
        </w:rPr>
        <w:t>4、供应商依法缴纳税收的相关材料（ 2025年12月至首次响应文件提交截止时间前任意连续3个月的依法缴纳税收的凭据复印件；依法免税的，必须提供相应文件证明其依法免税。从成立之日起到响应文件提交截止时间止不足要求月数的，只需提供从成立之日起的依法缴纳税收相应证明文件）；</w:t>
      </w:r>
    </w:p>
    <w:p>
      <w:pPr>
        <w:spacing w:line="360" w:lineRule="auto"/>
        <w:ind w:firstLine="420" w:firstLineChars="200"/>
        <w:rPr>
          <w:rFonts w:hint="eastAsia" w:ascii="宋体" w:hAnsi="宋体"/>
          <w:bCs/>
          <w:szCs w:val="21"/>
        </w:rPr>
      </w:pPr>
      <w:r>
        <w:rPr>
          <w:rFonts w:hint="eastAsia" w:ascii="宋体" w:hAnsi="宋体"/>
          <w:bCs/>
          <w:szCs w:val="21"/>
        </w:rPr>
        <w:t>5、供应商依法缴纳社会保障资金的相关材料[ 2025年12月至首次响应文件提交截止时间前任意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p>
    <w:p>
      <w:pPr>
        <w:spacing w:line="360" w:lineRule="auto"/>
        <w:ind w:firstLine="420" w:firstLineChars="200"/>
        <w:rPr>
          <w:rFonts w:hint="eastAsia" w:ascii="宋体" w:hAnsi="宋体"/>
          <w:bCs/>
          <w:szCs w:val="21"/>
        </w:rPr>
      </w:pPr>
      <w:r>
        <w:rPr>
          <w:rFonts w:hint="eastAsia" w:ascii="宋体" w:hAnsi="宋体"/>
          <w:bCs/>
          <w:szCs w:val="21"/>
        </w:rPr>
        <w:t>6、商务要求偏离表、技术要求偏离表</w:t>
      </w:r>
    </w:p>
    <w:p>
      <w:pPr>
        <w:spacing w:line="360" w:lineRule="auto"/>
        <w:ind w:firstLine="420" w:firstLineChars="200"/>
        <w:rPr>
          <w:rFonts w:hint="eastAsia" w:ascii="宋体" w:hAnsi="宋体"/>
          <w:bCs/>
          <w:szCs w:val="21"/>
        </w:rPr>
      </w:pPr>
      <w:r>
        <w:rPr>
          <w:rFonts w:hint="eastAsia" w:ascii="宋体" w:hAnsi="宋体"/>
          <w:bCs/>
          <w:szCs w:val="21"/>
        </w:rPr>
        <w:t>7、报价表</w:t>
      </w:r>
    </w:p>
    <w:p>
      <w:pPr>
        <w:spacing w:line="360" w:lineRule="auto"/>
        <w:ind w:firstLine="420" w:firstLineChars="200"/>
        <w:rPr>
          <w:rFonts w:hint="eastAsia" w:ascii="宋体" w:hAnsi="宋体"/>
          <w:bCs/>
          <w:szCs w:val="21"/>
        </w:rPr>
      </w:pPr>
      <w:r>
        <w:rPr>
          <w:rFonts w:hint="eastAsia" w:ascii="宋体" w:hAnsi="宋体"/>
          <w:bCs/>
          <w:szCs w:val="21"/>
        </w:rPr>
        <w:t>注：采购文件第五章有格式要求的，必须按要求在规定处由法定代表人或授权代表签名并加盖供应商公章。</w:t>
      </w:r>
    </w:p>
    <w:p>
      <w:pPr>
        <w:spacing w:line="360" w:lineRule="auto"/>
        <w:ind w:firstLine="422" w:firstLineChars="200"/>
        <w:rPr>
          <w:rFonts w:hint="eastAsia" w:ascii="宋体" w:hAnsi="宋体"/>
          <w:b/>
          <w:szCs w:val="21"/>
        </w:rPr>
      </w:pPr>
      <w:r>
        <w:rPr>
          <w:rFonts w:hint="eastAsia" w:ascii="宋体" w:hAnsi="宋体"/>
          <w:b/>
          <w:szCs w:val="21"/>
        </w:rPr>
        <w:t>符合性审查：</w:t>
      </w:r>
    </w:p>
    <w:p>
      <w:pPr>
        <w:spacing w:line="360" w:lineRule="auto"/>
        <w:ind w:firstLine="420" w:firstLineChars="200"/>
        <w:rPr>
          <w:rFonts w:hint="eastAsia" w:ascii="宋体" w:hAnsi="宋体"/>
          <w:bCs/>
          <w:szCs w:val="21"/>
        </w:rPr>
      </w:pPr>
      <w:r>
        <w:rPr>
          <w:rFonts w:hint="eastAsia" w:ascii="宋体" w:hAnsi="宋体"/>
          <w:bCs/>
          <w:szCs w:val="21"/>
        </w:rPr>
        <w:t>1、采购文件要求必须提供的报价、商务技术文件齐全且内容无虚假</w:t>
      </w:r>
    </w:p>
    <w:p>
      <w:pPr>
        <w:spacing w:line="360" w:lineRule="auto"/>
        <w:ind w:firstLine="420" w:firstLineChars="200"/>
        <w:rPr>
          <w:rFonts w:hint="eastAsia" w:ascii="宋体" w:hAnsi="宋体"/>
          <w:bCs/>
          <w:szCs w:val="21"/>
        </w:rPr>
      </w:pPr>
      <w:r>
        <w:rPr>
          <w:rFonts w:hint="eastAsia" w:ascii="宋体" w:hAnsi="宋体"/>
          <w:bCs/>
          <w:szCs w:val="21"/>
        </w:rPr>
        <w:t>2、按采购文件要求签署、盖章</w:t>
      </w:r>
    </w:p>
    <w:p>
      <w:pPr>
        <w:spacing w:line="360" w:lineRule="auto"/>
        <w:ind w:firstLine="420" w:firstLineChars="200"/>
        <w:rPr>
          <w:rFonts w:hint="eastAsia" w:ascii="宋体" w:hAnsi="宋体"/>
          <w:bCs/>
          <w:szCs w:val="21"/>
        </w:rPr>
      </w:pPr>
      <w:r>
        <w:rPr>
          <w:rFonts w:hint="eastAsia" w:ascii="宋体" w:hAnsi="宋体"/>
          <w:bCs/>
          <w:szCs w:val="21"/>
        </w:rPr>
        <w:t>3、未附有采购人不能接受的其他条件</w:t>
      </w:r>
    </w:p>
    <w:p>
      <w:pPr>
        <w:spacing w:line="360" w:lineRule="auto"/>
        <w:ind w:firstLine="420" w:firstLineChars="200"/>
        <w:rPr>
          <w:rFonts w:hint="eastAsia" w:ascii="宋体" w:hAnsi="宋体"/>
          <w:bCs/>
          <w:szCs w:val="21"/>
        </w:rPr>
      </w:pPr>
      <w:r>
        <w:rPr>
          <w:rFonts w:hint="eastAsia" w:ascii="宋体" w:hAnsi="宋体"/>
          <w:bCs/>
          <w:szCs w:val="21"/>
        </w:rPr>
        <w:t>4、完全满足采购文件带“★”、“▲”的条款</w:t>
      </w:r>
    </w:p>
    <w:p>
      <w:pPr>
        <w:spacing w:line="360" w:lineRule="auto"/>
        <w:ind w:firstLine="420" w:firstLineChars="200"/>
        <w:rPr>
          <w:rFonts w:hint="eastAsia" w:ascii="宋体" w:hAnsi="宋体"/>
          <w:bCs/>
          <w:szCs w:val="21"/>
        </w:rPr>
      </w:pPr>
      <w:r>
        <w:rPr>
          <w:rFonts w:hint="eastAsia" w:ascii="宋体" w:hAnsi="宋体"/>
          <w:bCs/>
          <w:szCs w:val="21"/>
        </w:rPr>
        <w:t>5、报价未超出最高限价</w:t>
      </w:r>
    </w:p>
    <w:p>
      <w:pPr>
        <w:spacing w:line="360" w:lineRule="auto"/>
        <w:ind w:firstLine="420" w:firstLineChars="200"/>
        <w:rPr>
          <w:rFonts w:hint="eastAsia" w:ascii="宋体" w:hAnsi="宋体"/>
          <w:bCs/>
          <w:szCs w:val="21"/>
        </w:rPr>
      </w:pPr>
      <w:r>
        <w:rPr>
          <w:rFonts w:hint="eastAsia" w:ascii="宋体" w:hAnsi="宋体"/>
          <w:bCs/>
          <w:szCs w:val="21"/>
        </w:rPr>
        <w:t>6、报价是唯一报价，不具有选择性</w:t>
      </w:r>
    </w:p>
    <w:p>
      <w:pPr>
        <w:spacing w:line="360" w:lineRule="auto"/>
        <w:ind w:firstLine="420" w:firstLineChars="200"/>
        <w:rPr>
          <w:rFonts w:hint="eastAsia" w:ascii="宋体" w:hAnsi="宋体"/>
          <w:bCs/>
          <w:szCs w:val="21"/>
        </w:rPr>
      </w:pPr>
      <w:r>
        <w:rPr>
          <w:rFonts w:hint="eastAsia" w:ascii="宋体" w:hAnsi="宋体"/>
          <w:bCs/>
          <w:szCs w:val="21"/>
        </w:rPr>
        <w:t>7、无围标、串标行为</w:t>
      </w:r>
    </w:p>
    <w:p>
      <w:pPr>
        <w:spacing w:line="360" w:lineRule="auto"/>
        <w:ind w:firstLine="420" w:firstLineChars="200"/>
        <w:rPr>
          <w:rFonts w:hint="eastAsia" w:ascii="宋体" w:hAnsi="宋体"/>
          <w:bCs/>
          <w:szCs w:val="21"/>
        </w:rPr>
      </w:pPr>
      <w:r>
        <w:rPr>
          <w:rFonts w:hint="eastAsia" w:ascii="宋体" w:hAnsi="宋体"/>
          <w:bCs/>
          <w:szCs w:val="21"/>
        </w:rPr>
        <w:t>8、与其他竞标单位非关联供应商关系</w:t>
      </w:r>
    </w:p>
    <w:p>
      <w:pPr>
        <w:spacing w:line="360" w:lineRule="auto"/>
        <w:ind w:firstLine="420" w:firstLineChars="200"/>
        <w:rPr>
          <w:rFonts w:hint="eastAsia" w:ascii="宋体" w:hAnsi="宋体"/>
          <w:bCs/>
          <w:szCs w:val="21"/>
        </w:rPr>
      </w:pPr>
      <w:r>
        <w:rPr>
          <w:rFonts w:hint="eastAsia" w:ascii="宋体" w:hAnsi="宋体"/>
          <w:bCs/>
          <w:szCs w:val="21"/>
        </w:rPr>
        <w:t>9、不存在法律、法规和采购文件规定的其他无效情形。</w:t>
      </w:r>
    </w:p>
    <w:p>
      <w:pPr>
        <w:spacing w:line="360" w:lineRule="auto"/>
        <w:ind w:firstLine="420" w:firstLineChars="200"/>
        <w:rPr>
          <w:rFonts w:hint="eastAsia" w:ascii="宋体" w:hAnsi="宋体"/>
          <w:bCs/>
          <w:szCs w:val="21"/>
        </w:rPr>
      </w:pPr>
      <w:r>
        <w:rPr>
          <w:rFonts w:hint="eastAsia" w:ascii="宋体" w:hAnsi="宋体"/>
          <w:bCs/>
          <w:szCs w:val="21"/>
        </w:rPr>
        <w:t>不满足资格评审或响应性评审的将被视为无效竞标，不得进入详细评审。</w:t>
      </w:r>
    </w:p>
    <w:p>
      <w:pPr>
        <w:spacing w:line="360" w:lineRule="auto"/>
        <w:ind w:firstLine="422" w:firstLineChars="200"/>
        <w:rPr>
          <w:rFonts w:hint="eastAsia" w:ascii="宋体" w:hAnsi="宋体"/>
          <w:bCs/>
          <w:szCs w:val="21"/>
        </w:rPr>
      </w:pPr>
      <w:r>
        <w:rPr>
          <w:rFonts w:hint="eastAsia" w:ascii="宋体" w:hAnsi="宋体"/>
          <w:b/>
          <w:szCs w:val="21"/>
        </w:rPr>
        <w:t>详细评审：评标</w:t>
      </w:r>
      <w:r>
        <w:rPr>
          <w:rFonts w:hint="eastAsia" w:ascii="宋体" w:hAnsi="宋体"/>
          <w:bCs/>
          <w:szCs w:val="21"/>
        </w:rPr>
        <w:t>小组将以响应文件为评审依据，对供应商的报价、技术、商务等方面内容按百分制打分。（计分方法按四舍五入取至百分位）</w:t>
      </w:r>
    </w:p>
    <w:p>
      <w:pPr>
        <w:pStyle w:val="13"/>
        <w:rPr>
          <w:rFonts w:hint="eastAsia" w:ascii="宋体" w:hAnsi="宋体"/>
          <w:bCs/>
          <w:szCs w:val="21"/>
        </w:rPr>
      </w:pPr>
    </w:p>
    <w:p>
      <w:r>
        <w:rPr>
          <w:rFonts w:hint="eastAsia"/>
        </w:rPr>
        <w:t>本项目使用以下评分办法：</w:t>
      </w:r>
    </w:p>
    <w:p/>
    <w:p>
      <w:pPr>
        <w:pStyle w:val="5"/>
        <w:numPr>
          <w:ilvl w:val="0"/>
          <w:numId w:val="4"/>
        </w:numPr>
        <w:ind w:left="635" w:hanging="425"/>
        <w:rPr>
          <w:rFonts w:hint="eastAsia" w:ascii="宋体" w:hAnsi="宋体" w:cs="宋体"/>
          <w:sz w:val="21"/>
          <w:szCs w:val="21"/>
        </w:rPr>
      </w:pPr>
      <w:r>
        <w:rPr>
          <w:rFonts w:hint="eastAsia" w:ascii="宋体" w:hAnsi="宋体" w:cs="宋体"/>
          <w:sz w:val="21"/>
          <w:szCs w:val="21"/>
        </w:rPr>
        <w:t>评标总则</w:t>
      </w:r>
    </w:p>
    <w:p>
      <w:pPr>
        <w:pStyle w:val="104"/>
        <w:numPr>
          <w:ilvl w:val="0"/>
          <w:numId w:val="5"/>
        </w:numPr>
        <w:ind w:left="-270" w:firstLine="480"/>
        <w:rPr>
          <w:rFonts w:hint="eastAsia" w:ascii="宋体" w:hAnsi="宋体" w:eastAsia="宋体" w:cs="宋体"/>
          <w:sz w:val="21"/>
          <w:szCs w:val="21"/>
        </w:rPr>
      </w:pPr>
      <w:r>
        <w:rPr>
          <w:rFonts w:hint="eastAsia" w:ascii="宋体" w:hAnsi="宋体" w:eastAsia="宋体" w:cs="宋体"/>
          <w:sz w:val="21"/>
          <w:szCs w:val="21"/>
        </w:rPr>
        <w:t>评标委员会按</w:t>
      </w:r>
      <w:r>
        <w:rPr>
          <w:rFonts w:hint="eastAsia" w:ascii="宋体" w:hAnsi="宋体" w:eastAsia="宋体" w:cs="宋体"/>
          <w:b/>
          <w:bCs/>
          <w:sz w:val="21"/>
          <w:szCs w:val="21"/>
        </w:rPr>
        <w:t>报价 20 分、商务 30 分、技术 50 分</w:t>
      </w:r>
      <w:r>
        <w:rPr>
          <w:rFonts w:hint="eastAsia" w:ascii="宋体" w:hAnsi="宋体" w:eastAsia="宋体" w:cs="宋体"/>
          <w:sz w:val="21"/>
          <w:szCs w:val="21"/>
        </w:rPr>
        <w:t>独立打分，汇总为最终得分。</w:t>
      </w:r>
    </w:p>
    <w:p>
      <w:pPr>
        <w:pStyle w:val="104"/>
        <w:numPr>
          <w:ilvl w:val="0"/>
          <w:numId w:val="5"/>
        </w:numPr>
        <w:ind w:left="390" w:hanging="288"/>
        <w:rPr>
          <w:rFonts w:hint="eastAsia" w:ascii="宋体" w:hAnsi="宋体" w:eastAsia="宋体" w:cs="宋体"/>
          <w:sz w:val="21"/>
          <w:szCs w:val="21"/>
        </w:rPr>
      </w:pPr>
      <w:r>
        <w:rPr>
          <w:rFonts w:hint="eastAsia" w:ascii="宋体" w:hAnsi="宋体" w:eastAsia="宋体" w:cs="宋体"/>
          <w:sz w:val="21"/>
          <w:szCs w:val="21"/>
        </w:rPr>
        <w:t>有效投标人满足资格与实质性要求，按得分从高到低推荐中标候选人。</w:t>
      </w:r>
    </w:p>
    <w:p>
      <w:pPr>
        <w:pStyle w:val="104"/>
        <w:numPr>
          <w:ilvl w:val="0"/>
          <w:numId w:val="5"/>
        </w:numPr>
        <w:ind w:left="390" w:hanging="288"/>
        <w:rPr>
          <w:rFonts w:hint="eastAsia" w:ascii="宋体" w:hAnsi="宋体" w:eastAsia="宋体" w:cs="宋体"/>
          <w:sz w:val="21"/>
          <w:szCs w:val="21"/>
        </w:rPr>
      </w:pPr>
      <w:r>
        <w:rPr>
          <w:rFonts w:hint="eastAsia" w:ascii="宋体" w:hAnsi="宋体" w:eastAsia="宋体" w:cs="宋体"/>
          <w:sz w:val="21"/>
          <w:szCs w:val="21"/>
        </w:rPr>
        <w:t>得分相同按</w:t>
      </w:r>
      <w:r>
        <w:rPr>
          <w:rFonts w:hint="eastAsia" w:ascii="宋体" w:hAnsi="宋体" w:eastAsia="宋体" w:cs="宋体"/>
          <w:b/>
          <w:bCs/>
          <w:sz w:val="21"/>
          <w:szCs w:val="21"/>
        </w:rPr>
        <w:t>技术分→商务分→报价低</w:t>
      </w:r>
      <w:r>
        <w:rPr>
          <w:rFonts w:hint="eastAsia" w:ascii="宋体" w:hAnsi="宋体" w:eastAsia="宋体" w:cs="宋体"/>
          <w:sz w:val="21"/>
          <w:szCs w:val="21"/>
        </w:rPr>
        <w:t>排序。</w:t>
      </w:r>
    </w:p>
    <w:p>
      <w:pPr>
        <w:pStyle w:val="5"/>
        <w:numPr>
          <w:ilvl w:val="0"/>
          <w:numId w:val="4"/>
        </w:numPr>
        <w:ind w:left="635" w:hanging="425"/>
        <w:rPr>
          <w:rFonts w:hint="eastAsia" w:ascii="宋体" w:hAnsi="宋体" w:cs="宋体"/>
          <w:sz w:val="21"/>
          <w:szCs w:val="21"/>
        </w:rPr>
      </w:pPr>
      <w:r>
        <w:rPr>
          <w:rFonts w:hint="eastAsia" w:ascii="宋体" w:hAnsi="宋体" w:cs="宋体"/>
          <w:sz w:val="21"/>
          <w:szCs w:val="21"/>
        </w:rPr>
        <w:t>资格性与符合性审查</w:t>
      </w:r>
    </w:p>
    <w:p>
      <w:pPr>
        <w:pStyle w:val="10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审查内容：营业执照、资质证书、法定代表人身份证明、授权委托书、投标函签字盖章、报价唯一、服务期限响应、无重大违法记录声明等；不通过按无效标处理。</w:t>
      </w:r>
    </w:p>
    <w:p>
      <w:pPr>
        <w:pStyle w:val="5"/>
        <w:numPr>
          <w:ilvl w:val="0"/>
          <w:numId w:val="4"/>
        </w:numPr>
        <w:ind w:left="635" w:hanging="425"/>
        <w:jc w:val="center"/>
        <w:rPr>
          <w:rFonts w:hint="eastAsia" w:ascii="宋体" w:hAnsi="宋体" w:cs="宋体"/>
        </w:rPr>
      </w:pPr>
      <w:r>
        <w:rPr>
          <w:rFonts w:hint="eastAsia" w:ascii="宋体" w:hAnsi="宋体" w:cs="宋体"/>
        </w:rPr>
        <w:t>详细评分标准（总分 100 分）</w:t>
      </w:r>
    </w:p>
    <w:p>
      <w:pPr>
        <w:pStyle w:val="6"/>
        <w:numPr>
          <w:ilvl w:val="0"/>
          <w:numId w:val="6"/>
        </w:numPr>
        <w:ind w:left="425" w:hanging="425"/>
        <w:rPr>
          <w:rFonts w:hint="eastAsia" w:ascii="宋体" w:hAnsi="宋体" w:eastAsia="宋体" w:cs="宋体"/>
          <w:sz w:val="21"/>
          <w:szCs w:val="21"/>
        </w:rPr>
      </w:pPr>
      <w:r>
        <w:rPr>
          <w:rFonts w:hint="eastAsia" w:ascii="宋体" w:hAnsi="宋体" w:eastAsia="宋体" w:cs="宋体"/>
          <w:sz w:val="21"/>
          <w:szCs w:val="21"/>
        </w:rPr>
        <w:t>投标报价（20 分）</w:t>
      </w:r>
    </w:p>
    <w:p>
      <w:pPr>
        <w:pStyle w:val="104"/>
        <w:numPr>
          <w:ilvl w:val="0"/>
          <w:numId w:val="7"/>
        </w:numPr>
        <w:spacing w:line="360" w:lineRule="auto"/>
        <w:ind w:left="0" w:firstLine="0"/>
        <w:rPr>
          <w:rFonts w:hint="eastAsia" w:ascii="宋体" w:hAnsi="宋体" w:eastAsia="宋体" w:cs="宋体"/>
          <w:sz w:val="21"/>
          <w:szCs w:val="21"/>
        </w:rPr>
      </w:pPr>
      <w:r>
        <w:rPr>
          <w:rFonts w:hint="eastAsia" w:ascii="宋体" w:hAnsi="宋体" w:eastAsia="宋体" w:cs="宋体"/>
          <w:sz w:val="21"/>
          <w:szCs w:val="21"/>
        </w:rPr>
        <w:t>本项目投标报价采用</w:t>
      </w:r>
      <w:r>
        <w:rPr>
          <w:rFonts w:hint="eastAsia" w:ascii="宋体" w:hAnsi="宋体" w:eastAsia="宋体" w:cs="宋体"/>
          <w:b/>
          <w:bCs/>
          <w:sz w:val="21"/>
          <w:szCs w:val="21"/>
        </w:rPr>
        <w:t>低价优先法</w:t>
      </w:r>
      <w:r>
        <w:rPr>
          <w:rFonts w:hint="eastAsia" w:ascii="宋体" w:hAnsi="宋体" w:eastAsia="宋体" w:cs="宋体"/>
          <w:sz w:val="21"/>
          <w:szCs w:val="21"/>
        </w:rPr>
        <w:t>进行计分，以全部有效投标报价中的最低报价为评分基准，报价越低得分越高，最高报价得分最低。</w:t>
      </w:r>
    </w:p>
    <w:p>
      <w:pPr>
        <w:pStyle w:val="104"/>
        <w:spacing w:line="360" w:lineRule="auto"/>
        <w:rPr>
          <w:rFonts w:hint="eastAsia" w:ascii="宋体" w:hAnsi="宋体" w:eastAsia="宋体" w:cs="宋体"/>
          <w:sz w:val="21"/>
          <w:szCs w:val="21"/>
        </w:rPr>
      </w:pPr>
      <w:r>
        <w:rPr>
          <w:rFonts w:hint="eastAsia" w:ascii="宋体" w:hAnsi="宋体" w:eastAsia="宋体" w:cs="宋体"/>
          <w:sz w:val="21"/>
          <w:szCs w:val="21"/>
        </w:rPr>
        <w:t>计算方式：</w:t>
      </w:r>
      <w:r>
        <w:rPr>
          <w:rStyle w:val="33"/>
          <w:rFonts w:hint="eastAsia" w:ascii="宋体" w:hAnsi="宋体" w:eastAsia="宋体" w:cs="宋体"/>
          <w:sz w:val="21"/>
          <w:szCs w:val="21"/>
          <w:lang w:bidi="ar"/>
        </w:rPr>
        <w:t xml:space="preserve"> </w:t>
      </w:r>
      <w:r>
        <w:rPr>
          <w:rStyle w:val="33"/>
          <w:rFonts w:hint="eastAsia" w:ascii="宋体" w:hAnsi="宋体" w:eastAsia="宋体" w:cs="宋体"/>
          <w:b w:val="0"/>
          <w:bCs/>
          <w:sz w:val="21"/>
          <w:szCs w:val="21"/>
          <w:lang w:bidi="ar"/>
        </w:rPr>
        <w:t>某供应商价格分 = 供应商最低评标报价（金额）/某供应商评标报价（金额）</w:t>
      </w:r>
      <w:r>
        <w:rPr>
          <w:rFonts w:hint="eastAsia" w:ascii="宋体" w:hAnsi="宋体" w:eastAsia="宋体" w:cs="宋体"/>
          <w:bCs/>
          <w:sz w:val="21"/>
          <w:szCs w:val="21"/>
        </w:rPr>
        <w:t>×2</w:t>
      </w:r>
      <w:r>
        <w:rPr>
          <w:rFonts w:hint="eastAsia" w:ascii="宋体" w:hAnsi="宋体" w:eastAsia="宋体" w:cs="宋体"/>
          <w:sz w:val="21"/>
          <w:szCs w:val="21"/>
        </w:rPr>
        <w:t>0分</w:t>
      </w:r>
    </w:p>
    <w:p>
      <w:pPr>
        <w:pStyle w:val="104"/>
        <w:numPr>
          <w:ilvl w:val="0"/>
          <w:numId w:val="7"/>
        </w:numPr>
        <w:spacing w:line="360" w:lineRule="auto"/>
        <w:rPr>
          <w:rFonts w:hint="eastAsia" w:ascii="宋体" w:hAnsi="宋体" w:eastAsia="宋体" w:cs="宋体"/>
          <w:b/>
          <w:bCs/>
          <w:sz w:val="21"/>
          <w:szCs w:val="21"/>
        </w:rPr>
      </w:pPr>
      <w:r>
        <w:rPr>
          <w:rFonts w:hint="eastAsia" w:ascii="宋体" w:hAnsi="宋体" w:eastAsia="宋体" w:cs="宋体"/>
          <w:b/>
          <w:bCs/>
          <w:sz w:val="21"/>
          <w:szCs w:val="21"/>
        </w:rPr>
        <w:t>计分细则:</w:t>
      </w:r>
    </w:p>
    <w:p>
      <w:pPr>
        <w:pStyle w:val="104"/>
        <w:numPr>
          <w:ilvl w:val="0"/>
          <w:numId w:val="8"/>
        </w:numPr>
        <w:spacing w:line="360" w:lineRule="auto"/>
        <w:rPr>
          <w:rFonts w:hint="eastAsia" w:ascii="宋体" w:hAnsi="宋体" w:eastAsia="宋体" w:cs="宋体"/>
          <w:sz w:val="21"/>
          <w:szCs w:val="21"/>
        </w:rPr>
      </w:pPr>
      <w:r>
        <w:rPr>
          <w:rFonts w:hint="eastAsia" w:ascii="宋体" w:hAnsi="宋体" w:eastAsia="宋体" w:cs="宋体"/>
          <w:sz w:val="21"/>
          <w:szCs w:val="21"/>
        </w:rPr>
        <w:t>最低有效报价对应的投标人，报价项得满分；</w:t>
      </w:r>
    </w:p>
    <w:p>
      <w:pPr>
        <w:pStyle w:val="104"/>
        <w:numPr>
          <w:ilvl w:val="0"/>
          <w:numId w:val="8"/>
        </w:numPr>
        <w:spacing w:line="360" w:lineRule="auto"/>
        <w:rPr>
          <w:rFonts w:hint="eastAsia" w:ascii="宋体" w:hAnsi="宋体" w:eastAsia="宋体" w:cs="宋体"/>
          <w:sz w:val="21"/>
          <w:szCs w:val="21"/>
        </w:rPr>
      </w:pPr>
      <w:r>
        <w:rPr>
          <w:rFonts w:hint="eastAsia" w:ascii="宋体" w:hAnsi="宋体" w:eastAsia="宋体" w:cs="宋体"/>
          <w:sz w:val="21"/>
          <w:szCs w:val="21"/>
        </w:rPr>
        <w:t>所有报价得分计算结果均保留小数点后两位，第三位小数按照四舍五入规则取舍；</w:t>
      </w:r>
    </w:p>
    <w:p>
      <w:pPr>
        <w:pStyle w:val="104"/>
        <w:numPr>
          <w:ilvl w:val="0"/>
          <w:numId w:val="8"/>
        </w:numPr>
        <w:spacing w:line="360" w:lineRule="auto"/>
        <w:rPr>
          <w:rFonts w:hint="eastAsia" w:ascii="宋体" w:hAnsi="宋体" w:eastAsia="宋体" w:cs="宋体"/>
          <w:sz w:val="21"/>
          <w:szCs w:val="21"/>
        </w:rPr>
      </w:pPr>
      <w:r>
        <w:rPr>
          <w:rFonts w:hint="eastAsia" w:ascii="宋体" w:hAnsi="宋体" w:eastAsia="宋体" w:cs="宋体"/>
          <w:sz w:val="21"/>
          <w:szCs w:val="21"/>
        </w:rPr>
        <w:t>若多家投标人报价同为全场最低有效报价，该部分所有投标人同步获得报价满分；</w:t>
      </w:r>
    </w:p>
    <w:p>
      <w:pPr>
        <w:pStyle w:val="104"/>
        <w:numPr>
          <w:ilvl w:val="0"/>
          <w:numId w:val="8"/>
        </w:numPr>
        <w:spacing w:line="360" w:lineRule="auto"/>
        <w:rPr>
          <w:rFonts w:hint="eastAsia" w:ascii="宋体" w:hAnsi="宋体" w:eastAsia="宋体" w:cs="宋体"/>
          <w:sz w:val="21"/>
          <w:szCs w:val="21"/>
        </w:rPr>
      </w:pPr>
      <w:r>
        <w:rPr>
          <w:rFonts w:hint="eastAsia" w:ascii="宋体" w:hAnsi="宋体" w:eastAsia="宋体" w:cs="宋体"/>
          <w:sz w:val="21"/>
          <w:szCs w:val="21"/>
        </w:rPr>
        <w:t>无效报价不参与本次报价计分，不纳入基准报价核算范围。</w:t>
      </w:r>
    </w:p>
    <w:p>
      <w:pPr>
        <w:pStyle w:val="6"/>
        <w:numPr>
          <w:ilvl w:val="0"/>
          <w:numId w:val="6"/>
        </w:numPr>
        <w:ind w:left="425" w:hanging="425"/>
        <w:rPr>
          <w:rFonts w:hint="eastAsia" w:ascii="宋体" w:hAnsi="宋体" w:eastAsia="宋体" w:cs="宋体"/>
          <w:sz w:val="21"/>
          <w:szCs w:val="21"/>
        </w:rPr>
      </w:pPr>
      <w:r>
        <w:rPr>
          <w:rFonts w:hint="eastAsia" w:ascii="宋体" w:hAnsi="宋体" w:eastAsia="宋体" w:cs="宋体"/>
          <w:sz w:val="21"/>
          <w:szCs w:val="21"/>
        </w:rPr>
        <w:t>商务部分（30 分）</w:t>
      </w:r>
    </w:p>
    <w:p>
      <w:pPr>
        <w:pStyle w:val="104"/>
        <w:numPr>
          <w:ilvl w:val="0"/>
          <w:numId w:val="9"/>
        </w:numPr>
        <w:ind w:left="288" w:hanging="288"/>
        <w:rPr>
          <w:rFonts w:hint="eastAsia" w:ascii="宋体" w:hAnsi="宋体" w:eastAsia="宋体" w:cs="宋体"/>
          <w:sz w:val="21"/>
          <w:szCs w:val="21"/>
        </w:rPr>
      </w:pPr>
      <w:r>
        <w:rPr>
          <w:rFonts w:hint="eastAsia" w:ascii="宋体" w:hAnsi="宋体" w:eastAsia="宋体" w:cs="宋体"/>
          <w:b/>
          <w:bCs/>
          <w:sz w:val="21"/>
          <w:szCs w:val="21"/>
        </w:rPr>
        <w:t>企业资质与能力（10 分，核验证书有效期、资质附表范围）</w:t>
      </w:r>
    </w:p>
    <w:p>
      <w:pPr>
        <w:spacing w:line="360" w:lineRule="auto"/>
        <w:ind w:left="420" w:leftChars="200"/>
        <w:rPr>
          <w:rFonts w:hint="eastAsia" w:ascii="宋体" w:hAnsi="宋体" w:cs="宋体"/>
          <w:szCs w:val="21"/>
        </w:rPr>
      </w:pPr>
      <w:r>
        <w:rPr>
          <w:rFonts w:hint="eastAsia" w:ascii="宋体" w:hAnsi="宋体" w:cs="宋体"/>
          <w:szCs w:val="21"/>
        </w:rPr>
        <w:t>评审材料：投标人提供有效期内CMA检验检测资质认定证书、CNAS实验室认可证书扫描件，</w:t>
      </w:r>
      <w:r>
        <w:rPr>
          <w:rFonts w:hint="eastAsia" w:ascii="宋体" w:hAnsi="宋体" w:cs="宋体"/>
          <w:b/>
          <w:bCs/>
          <w:szCs w:val="21"/>
        </w:rPr>
        <w:t>证书附表校准范围必须包含公路工程试验仪器标定项目</w:t>
      </w:r>
      <w:r>
        <w:rPr>
          <w:rFonts w:hint="eastAsia" w:ascii="宋体" w:hAnsi="宋体" w:cs="宋体"/>
          <w:szCs w:val="21"/>
        </w:rPr>
        <w:t>，超出附表许可范围不予计分。</w:t>
      </w:r>
    </w:p>
    <w:p>
      <w:pPr>
        <w:pStyle w:val="104"/>
        <w:numPr>
          <w:ilvl w:val="0"/>
          <w:numId w:val="10"/>
        </w:numPr>
        <w:ind w:left="0" w:firstLine="0"/>
        <w:rPr>
          <w:rFonts w:hint="eastAsia" w:ascii="宋体" w:hAnsi="宋体" w:eastAsia="宋体" w:cs="宋体"/>
          <w:sz w:val="21"/>
          <w:szCs w:val="21"/>
        </w:rPr>
      </w:pPr>
      <w:r>
        <w:rPr>
          <w:rFonts w:hint="eastAsia" w:ascii="宋体" w:hAnsi="宋体" w:eastAsia="宋体" w:cs="宋体"/>
          <w:sz w:val="21"/>
          <w:szCs w:val="21"/>
        </w:rPr>
        <w:t xml:space="preserve">同时具备在有效期内 CMA+CNAS 双资质，且资质范围覆盖本项目全部仪器标定类别：得 </w:t>
      </w:r>
      <w:r>
        <w:rPr>
          <w:rFonts w:hint="eastAsia" w:ascii="宋体" w:hAnsi="宋体" w:eastAsia="宋体" w:cs="宋体"/>
          <w:b/>
          <w:bCs/>
          <w:sz w:val="21"/>
          <w:szCs w:val="21"/>
        </w:rPr>
        <w:t>10</w:t>
      </w:r>
      <w:r>
        <w:rPr>
          <w:rFonts w:hint="eastAsia" w:ascii="宋体" w:hAnsi="宋体" w:eastAsia="宋体" w:cs="宋体"/>
          <w:sz w:val="21"/>
          <w:szCs w:val="21"/>
        </w:rPr>
        <w:t xml:space="preserve"> 分；</w:t>
      </w:r>
    </w:p>
    <w:p>
      <w:pPr>
        <w:pStyle w:val="104"/>
        <w:numPr>
          <w:ilvl w:val="0"/>
          <w:numId w:val="10"/>
        </w:numPr>
        <w:ind w:left="287" w:hanging="288"/>
        <w:rPr>
          <w:rFonts w:hint="eastAsia" w:ascii="宋体" w:hAnsi="宋体" w:eastAsia="宋体" w:cs="宋体"/>
          <w:sz w:val="21"/>
          <w:szCs w:val="21"/>
        </w:rPr>
      </w:pPr>
      <w:r>
        <w:rPr>
          <w:rFonts w:hint="eastAsia" w:ascii="宋体" w:hAnsi="宋体" w:eastAsia="宋体" w:cs="宋体"/>
          <w:sz w:val="21"/>
          <w:szCs w:val="21"/>
        </w:rPr>
        <w:t>仅持有有效</w:t>
      </w:r>
      <w:bookmarkStart w:id="72" w:name="OLE_LINK1"/>
      <w:r>
        <w:rPr>
          <w:rFonts w:hint="eastAsia" w:ascii="宋体" w:hAnsi="宋体" w:eastAsia="宋体" w:cs="宋体"/>
          <w:sz w:val="21"/>
          <w:szCs w:val="21"/>
        </w:rPr>
        <w:t>CMA资质证书</w:t>
      </w:r>
      <w:bookmarkEnd w:id="72"/>
      <w:r>
        <w:rPr>
          <w:rFonts w:hint="eastAsia" w:ascii="宋体" w:hAnsi="宋体" w:eastAsia="宋体" w:cs="宋体"/>
          <w:sz w:val="21"/>
          <w:szCs w:val="21"/>
        </w:rPr>
        <w:t xml:space="preserve">，附表许可范围满足本项目标定需求：得 </w:t>
      </w:r>
      <w:r>
        <w:rPr>
          <w:rFonts w:hint="eastAsia" w:ascii="宋体" w:hAnsi="宋体" w:eastAsia="宋体" w:cs="宋体"/>
          <w:b/>
          <w:bCs/>
          <w:sz w:val="21"/>
          <w:szCs w:val="21"/>
        </w:rPr>
        <w:t>7</w:t>
      </w:r>
      <w:r>
        <w:rPr>
          <w:rFonts w:hint="eastAsia" w:ascii="宋体" w:hAnsi="宋体" w:eastAsia="宋体" w:cs="宋体"/>
          <w:sz w:val="21"/>
          <w:szCs w:val="21"/>
        </w:rPr>
        <w:t xml:space="preserve"> 分；</w:t>
      </w:r>
    </w:p>
    <w:p>
      <w:pPr>
        <w:pStyle w:val="104"/>
        <w:numPr>
          <w:ilvl w:val="0"/>
          <w:numId w:val="10"/>
        </w:numPr>
        <w:ind w:left="287" w:hanging="288"/>
        <w:rPr>
          <w:rFonts w:hint="eastAsia" w:ascii="宋体" w:hAnsi="宋体" w:eastAsia="宋体" w:cs="宋体"/>
          <w:sz w:val="21"/>
          <w:szCs w:val="21"/>
        </w:rPr>
      </w:pPr>
      <w:r>
        <w:rPr>
          <w:rFonts w:hint="eastAsia" w:ascii="宋体" w:hAnsi="宋体" w:eastAsia="宋体" w:cs="宋体"/>
          <w:sz w:val="21"/>
          <w:szCs w:val="21"/>
        </w:rPr>
        <w:t xml:space="preserve">仅持有有效CNAS认可证书，认可范围满足本项目标定需求：得 </w:t>
      </w:r>
      <w:r>
        <w:rPr>
          <w:rFonts w:hint="eastAsia" w:ascii="宋体" w:hAnsi="宋体" w:eastAsia="宋体" w:cs="宋体"/>
          <w:b/>
          <w:bCs/>
          <w:sz w:val="21"/>
          <w:szCs w:val="21"/>
        </w:rPr>
        <w:t>5</w:t>
      </w:r>
      <w:r>
        <w:rPr>
          <w:rFonts w:hint="eastAsia" w:ascii="宋体" w:hAnsi="宋体" w:eastAsia="宋体" w:cs="宋体"/>
          <w:sz w:val="21"/>
          <w:szCs w:val="21"/>
        </w:rPr>
        <w:t xml:space="preserve"> 分；</w:t>
      </w:r>
    </w:p>
    <w:p>
      <w:pPr>
        <w:pStyle w:val="104"/>
        <w:numPr>
          <w:ilvl w:val="0"/>
          <w:numId w:val="10"/>
        </w:numPr>
        <w:ind w:left="287" w:hanging="288"/>
        <w:rPr>
          <w:rFonts w:hint="eastAsia" w:ascii="宋体" w:hAnsi="宋体" w:eastAsia="宋体" w:cs="宋体"/>
          <w:sz w:val="21"/>
          <w:szCs w:val="21"/>
        </w:rPr>
      </w:pPr>
      <w:r>
        <w:rPr>
          <w:rFonts w:hint="eastAsia" w:ascii="宋体" w:hAnsi="宋体" w:eastAsia="宋体" w:cs="宋体"/>
          <w:sz w:val="21"/>
          <w:szCs w:val="21"/>
        </w:rPr>
        <w:t xml:space="preserve">无上述任一有效资质，或资质许可范围不匹配本项目仪器标定：得 </w:t>
      </w:r>
      <w:r>
        <w:rPr>
          <w:rFonts w:hint="eastAsia" w:ascii="宋体" w:hAnsi="宋体" w:eastAsia="宋体" w:cs="宋体"/>
          <w:b/>
          <w:bCs/>
          <w:sz w:val="21"/>
          <w:szCs w:val="21"/>
        </w:rPr>
        <w:t>0</w:t>
      </w:r>
      <w:r>
        <w:rPr>
          <w:rFonts w:hint="eastAsia" w:ascii="宋体" w:hAnsi="宋体" w:eastAsia="宋体" w:cs="宋体"/>
          <w:sz w:val="21"/>
          <w:szCs w:val="21"/>
        </w:rPr>
        <w:t xml:space="preserve"> 分。</w:t>
      </w:r>
    </w:p>
    <w:p>
      <w:pPr>
        <w:pStyle w:val="104"/>
        <w:numPr>
          <w:ilvl w:val="0"/>
          <w:numId w:val="9"/>
        </w:numPr>
        <w:ind w:left="288" w:hanging="288"/>
        <w:rPr>
          <w:rFonts w:hint="eastAsia" w:ascii="宋体" w:hAnsi="宋体" w:eastAsia="宋体" w:cs="宋体"/>
          <w:color w:val="FF0000"/>
          <w:sz w:val="21"/>
          <w:szCs w:val="21"/>
        </w:rPr>
      </w:pPr>
      <w:r>
        <w:rPr>
          <w:rFonts w:hint="eastAsia" w:ascii="宋体" w:hAnsi="宋体" w:eastAsia="宋体" w:cs="宋体"/>
          <w:b/>
          <w:bCs/>
          <w:sz w:val="21"/>
          <w:szCs w:val="21"/>
        </w:rPr>
        <w:t>同类业绩（10 分）</w:t>
      </w:r>
    </w:p>
    <w:p>
      <w:pPr>
        <w:numPr>
          <w:ilvl w:val="0"/>
          <w:numId w:val="11"/>
        </w:numPr>
        <w:spacing w:line="360" w:lineRule="auto"/>
        <w:ind w:left="635"/>
        <w:rPr>
          <w:rFonts w:hint="eastAsia" w:ascii="宋体" w:hAnsi="宋体" w:cs="宋体"/>
          <w:szCs w:val="21"/>
        </w:rPr>
      </w:pPr>
      <w:r>
        <w:rPr>
          <w:rFonts w:hint="eastAsia" w:ascii="宋体" w:hAnsi="宋体" w:cs="宋体"/>
          <w:szCs w:val="21"/>
        </w:rPr>
        <w:t xml:space="preserve">认定周期：自本项目招标公告发布之日起倒算近 </w:t>
      </w:r>
      <w:r>
        <w:rPr>
          <w:rFonts w:hint="eastAsia" w:ascii="宋体" w:hAnsi="宋体" w:cs="宋体"/>
          <w:b/>
          <w:bCs/>
          <w:szCs w:val="21"/>
        </w:rPr>
        <w:t>3</w:t>
      </w:r>
      <w:r>
        <w:rPr>
          <w:rFonts w:hint="eastAsia" w:ascii="宋体" w:hAnsi="宋体" w:cs="宋体"/>
          <w:szCs w:val="21"/>
        </w:rPr>
        <w:t xml:space="preserve"> 个自然年度；</w:t>
      </w:r>
    </w:p>
    <w:p>
      <w:pPr>
        <w:numPr>
          <w:ilvl w:val="0"/>
          <w:numId w:val="11"/>
        </w:numPr>
        <w:spacing w:line="360" w:lineRule="auto"/>
        <w:ind w:left="640"/>
        <w:rPr>
          <w:rFonts w:hint="eastAsia" w:ascii="宋体" w:hAnsi="宋体" w:cs="宋体"/>
          <w:szCs w:val="21"/>
        </w:rPr>
      </w:pPr>
      <w:r>
        <w:rPr>
          <w:rFonts w:hint="eastAsia" w:ascii="宋体" w:hAnsi="宋体" w:cs="宋体"/>
          <w:szCs w:val="21"/>
        </w:rPr>
        <w:t>有效业绩定义：公路、交通工程类试验检测仪器设备标定 / 校准服务项目；</w:t>
      </w:r>
    </w:p>
    <w:p>
      <w:pPr>
        <w:numPr>
          <w:ilvl w:val="0"/>
          <w:numId w:val="11"/>
        </w:numPr>
        <w:spacing w:line="360" w:lineRule="auto"/>
        <w:ind w:left="214" w:firstLine="0"/>
        <w:rPr>
          <w:rFonts w:hint="eastAsia" w:ascii="宋体" w:hAnsi="宋体" w:cs="宋体"/>
          <w:szCs w:val="21"/>
        </w:rPr>
      </w:pPr>
      <w:r>
        <w:rPr>
          <w:rFonts w:hint="eastAsia" w:ascii="宋体" w:hAnsi="宋体" w:cs="宋体"/>
          <w:szCs w:val="21"/>
        </w:rPr>
        <w:t>计分要求：每份业绩合同金额</w:t>
      </w:r>
      <w:r>
        <w:rPr>
          <w:rFonts w:hint="eastAsia" w:ascii="宋体" w:hAnsi="宋体" w:cs="宋体"/>
          <w:color w:val="0000FF"/>
          <w:szCs w:val="21"/>
        </w:rPr>
        <w:t>不小于3万元并</w:t>
      </w:r>
      <w:r>
        <w:rPr>
          <w:rFonts w:hint="eastAsia" w:ascii="宋体" w:hAnsi="宋体" w:cs="宋体"/>
          <w:szCs w:val="21"/>
        </w:rPr>
        <w:t>须提供：合同关键页（首尾页 + 服务内容页）或 中标通知书 / 项目结算发票 / 项目验收证明任意一项佐证材料；每份有效业绩得</w:t>
      </w:r>
      <w:r>
        <w:rPr>
          <w:rFonts w:hint="eastAsia" w:ascii="宋体" w:hAnsi="宋体" w:cs="宋体"/>
          <w:b/>
          <w:bCs/>
          <w:szCs w:val="21"/>
        </w:rPr>
        <w:t xml:space="preserve"> 5 </w:t>
      </w:r>
      <w:r>
        <w:rPr>
          <w:rFonts w:hint="eastAsia" w:ascii="宋体" w:hAnsi="宋体" w:cs="宋体"/>
          <w:szCs w:val="21"/>
        </w:rPr>
        <w:t>分，最多计</w:t>
      </w:r>
      <w:r>
        <w:rPr>
          <w:rFonts w:hint="eastAsia" w:ascii="宋体" w:hAnsi="宋体" w:cs="宋体"/>
          <w:b/>
          <w:bCs/>
          <w:szCs w:val="21"/>
        </w:rPr>
        <w:t xml:space="preserve"> 2</w:t>
      </w:r>
      <w:r>
        <w:rPr>
          <w:rFonts w:hint="eastAsia" w:ascii="宋体" w:hAnsi="宋体" w:cs="宋体"/>
          <w:szCs w:val="21"/>
        </w:rPr>
        <w:t xml:space="preserve"> 份，满分 </w:t>
      </w:r>
      <w:r>
        <w:rPr>
          <w:rFonts w:hint="eastAsia" w:ascii="宋体" w:hAnsi="宋体" w:cs="宋体"/>
          <w:b/>
          <w:bCs/>
          <w:szCs w:val="21"/>
        </w:rPr>
        <w:t>10</w:t>
      </w:r>
      <w:r>
        <w:rPr>
          <w:rFonts w:hint="eastAsia" w:ascii="宋体" w:hAnsi="宋体" w:cs="宋体"/>
          <w:szCs w:val="21"/>
        </w:rPr>
        <w:t xml:space="preserve"> 分；无有效同类业绩本项 0 分。</w:t>
      </w:r>
    </w:p>
    <w:p>
      <w:pPr>
        <w:pStyle w:val="104"/>
        <w:numPr>
          <w:ilvl w:val="0"/>
          <w:numId w:val="9"/>
        </w:numPr>
        <w:ind w:left="288" w:hanging="288"/>
        <w:rPr>
          <w:rFonts w:hint="eastAsia" w:ascii="宋体" w:hAnsi="宋体" w:eastAsia="宋体" w:cs="宋体"/>
          <w:sz w:val="21"/>
          <w:szCs w:val="21"/>
        </w:rPr>
      </w:pPr>
      <w:r>
        <w:rPr>
          <w:rFonts w:hint="eastAsia" w:ascii="宋体" w:hAnsi="宋体" w:eastAsia="宋体" w:cs="宋体"/>
          <w:b/>
          <w:bCs/>
          <w:sz w:val="21"/>
          <w:szCs w:val="21"/>
        </w:rPr>
        <w:t>服务体系与保障（10 分）</w:t>
      </w:r>
    </w:p>
    <w:p>
      <w:pPr>
        <w:pStyle w:val="104"/>
        <w:ind w:firstLine="210" w:firstLineChars="100"/>
        <w:rPr>
          <w:rFonts w:hint="eastAsia" w:ascii="宋体" w:hAnsi="宋体" w:eastAsia="宋体" w:cs="宋体"/>
          <w:sz w:val="21"/>
          <w:szCs w:val="21"/>
        </w:rPr>
      </w:pPr>
      <w:r>
        <w:rPr>
          <w:rFonts w:hint="eastAsia" w:ascii="宋体" w:hAnsi="宋体" w:eastAsia="宋体" w:cs="宋体"/>
          <w:sz w:val="21"/>
          <w:szCs w:val="21"/>
        </w:rPr>
        <w:t>(1)服务体系完善，提供完整、可落地的服务方案，同时满足以下</w:t>
      </w:r>
      <w:r>
        <w:rPr>
          <w:rFonts w:hint="eastAsia" w:ascii="宋体" w:hAnsi="宋体" w:eastAsia="宋体" w:cs="宋体"/>
          <w:b/>
          <w:bCs/>
          <w:sz w:val="21"/>
          <w:szCs w:val="21"/>
        </w:rPr>
        <w:t xml:space="preserve"> 4 </w:t>
      </w:r>
      <w:r>
        <w:rPr>
          <w:rFonts w:hint="eastAsia" w:ascii="宋体" w:hAnsi="宋体" w:eastAsia="宋体" w:cs="宋体"/>
          <w:sz w:val="21"/>
          <w:szCs w:val="21"/>
        </w:rPr>
        <w:t>项要求：</w:t>
      </w:r>
    </w:p>
    <w:p>
      <w:pPr>
        <w:pStyle w:val="104"/>
        <w:ind w:firstLine="210" w:firstLineChars="100"/>
        <w:rPr>
          <w:rFonts w:hint="eastAsia" w:ascii="宋体" w:hAnsi="宋体" w:eastAsia="宋体" w:cs="宋体"/>
          <w:sz w:val="21"/>
          <w:szCs w:val="21"/>
        </w:rPr>
      </w:pPr>
      <w:r>
        <w:rPr>
          <w:rFonts w:hint="eastAsia" w:ascii="宋体" w:hAnsi="宋体" w:eastAsia="宋体" w:cs="宋体"/>
          <w:sz w:val="21"/>
          <w:szCs w:val="21"/>
        </w:rPr>
        <w:t>① 明确全流程服务节点：包含仪器接收、检定 / 校准实施、数据处理、证书出具、成果交付的完整流程及各环节时限承诺；</w:t>
      </w:r>
    </w:p>
    <w:p>
      <w:pPr>
        <w:pStyle w:val="104"/>
        <w:ind w:left="210" w:leftChars="100"/>
        <w:rPr>
          <w:rFonts w:hint="eastAsia" w:ascii="宋体" w:hAnsi="宋体" w:eastAsia="宋体" w:cs="宋体"/>
          <w:sz w:val="21"/>
          <w:szCs w:val="21"/>
        </w:rPr>
      </w:pPr>
      <w:r>
        <w:rPr>
          <w:rFonts w:hint="eastAsia" w:ascii="宋体" w:hAnsi="宋体" w:eastAsia="宋体" w:cs="宋体"/>
          <w:sz w:val="21"/>
          <w:szCs w:val="21"/>
        </w:rPr>
        <w:t>② 完善的响应机制：明确本项目专属对接人、24 小时技术咨询响应承诺、现场服务响应时限（≤2个工作日）；</w:t>
      </w:r>
    </w:p>
    <w:p>
      <w:pPr>
        <w:pStyle w:val="104"/>
        <w:ind w:firstLine="210" w:firstLineChars="100"/>
        <w:rPr>
          <w:rFonts w:hint="eastAsia" w:ascii="宋体" w:hAnsi="宋体" w:eastAsia="宋体" w:cs="宋体"/>
          <w:sz w:val="21"/>
          <w:szCs w:val="21"/>
        </w:rPr>
      </w:pPr>
      <w:r>
        <w:rPr>
          <w:rFonts w:hint="eastAsia" w:ascii="宋体" w:hAnsi="宋体" w:eastAsia="宋体" w:cs="宋体"/>
          <w:sz w:val="21"/>
          <w:szCs w:val="21"/>
        </w:rPr>
        <w:t>③ 质量保证措施：明确检定 / 校准依据的现行有效标准、数据量值溯源体系、证书出具时效承诺（≤7个工作日）、证书可在官方平台查询的承诺；</w:t>
      </w:r>
    </w:p>
    <w:p>
      <w:pPr>
        <w:pStyle w:val="104"/>
        <w:ind w:firstLine="210" w:firstLineChars="100"/>
        <w:rPr>
          <w:rFonts w:hint="eastAsia" w:ascii="宋体" w:hAnsi="宋体" w:eastAsia="宋体" w:cs="宋体"/>
          <w:sz w:val="21"/>
          <w:szCs w:val="21"/>
        </w:rPr>
      </w:pPr>
      <w:r>
        <w:rPr>
          <w:rFonts w:hint="eastAsia" w:ascii="宋体" w:hAnsi="宋体" w:eastAsia="宋体" w:cs="宋体"/>
          <w:sz w:val="21"/>
          <w:szCs w:val="21"/>
        </w:rPr>
        <w:t>④ 售后保障承诺：包含证书后续答疑、数据解释、不合格仪器的技术指导、免费证书补正服务；</w:t>
      </w:r>
    </w:p>
    <w:p>
      <w:pPr>
        <w:pStyle w:val="104"/>
        <w:rPr>
          <w:rFonts w:hint="eastAsia" w:ascii="宋体" w:hAnsi="宋体" w:eastAsia="宋体" w:cs="宋体"/>
          <w:sz w:val="21"/>
          <w:szCs w:val="21"/>
        </w:rPr>
      </w:pPr>
      <w:r>
        <w:rPr>
          <w:rFonts w:hint="eastAsia" w:ascii="宋体" w:hAnsi="宋体" w:eastAsia="宋体" w:cs="宋体"/>
          <w:sz w:val="21"/>
          <w:szCs w:val="21"/>
        </w:rPr>
        <w:t>所有内容均无模糊表述，完全匹配本项目需求：得 10 分。</w:t>
      </w:r>
    </w:p>
    <w:p>
      <w:pPr>
        <w:pStyle w:val="104"/>
        <w:ind w:firstLine="210" w:firstLineChars="100"/>
        <w:rPr>
          <w:rFonts w:hint="eastAsia" w:ascii="宋体" w:hAnsi="宋体" w:eastAsia="宋体" w:cs="宋体"/>
          <w:sz w:val="21"/>
          <w:szCs w:val="21"/>
        </w:rPr>
      </w:pPr>
      <w:r>
        <w:rPr>
          <w:rFonts w:hint="eastAsia" w:ascii="宋体" w:hAnsi="宋体" w:eastAsia="宋体" w:cs="宋体"/>
          <w:sz w:val="21"/>
          <w:szCs w:val="21"/>
        </w:rPr>
        <w:t xml:space="preserve">(2) 服务体系基本完整，同时满足上述 4 项要求中的 </w:t>
      </w:r>
      <w:r>
        <w:rPr>
          <w:rFonts w:hint="eastAsia" w:ascii="宋体" w:hAnsi="宋体" w:eastAsia="宋体" w:cs="宋体"/>
          <w:b/>
          <w:bCs/>
          <w:sz w:val="21"/>
          <w:szCs w:val="21"/>
        </w:rPr>
        <w:t>3</w:t>
      </w:r>
      <w:r>
        <w:rPr>
          <w:rFonts w:hint="eastAsia" w:ascii="宋体" w:hAnsi="宋体" w:eastAsia="宋体" w:cs="宋体"/>
          <w:sz w:val="21"/>
          <w:szCs w:val="21"/>
        </w:rPr>
        <w:t xml:space="preserve"> 项及以上，关键服务承诺明确、可落地，无明显瑕疵，可保障本项目服务质量：得 </w:t>
      </w:r>
      <w:r>
        <w:rPr>
          <w:rFonts w:hint="eastAsia" w:ascii="宋体" w:hAnsi="宋体" w:eastAsia="宋体" w:cs="宋体"/>
          <w:b/>
          <w:bCs/>
          <w:sz w:val="21"/>
          <w:szCs w:val="21"/>
        </w:rPr>
        <w:t xml:space="preserve">6 </w:t>
      </w:r>
      <w:r>
        <w:rPr>
          <w:rFonts w:hint="eastAsia" w:ascii="宋体" w:hAnsi="宋体" w:eastAsia="宋体" w:cs="宋体"/>
          <w:sz w:val="21"/>
          <w:szCs w:val="21"/>
        </w:rPr>
        <w:t>分。</w:t>
      </w:r>
    </w:p>
    <w:p>
      <w:pPr>
        <w:pStyle w:val="104"/>
        <w:ind w:firstLine="210" w:firstLineChars="100"/>
        <w:rPr>
          <w:rFonts w:hint="eastAsia" w:ascii="宋体" w:hAnsi="宋体" w:eastAsia="宋体" w:cs="宋体"/>
          <w:sz w:val="21"/>
          <w:szCs w:val="21"/>
        </w:rPr>
      </w:pPr>
      <w:r>
        <w:rPr>
          <w:rFonts w:hint="eastAsia" w:ascii="宋体" w:hAnsi="宋体" w:eastAsia="宋体" w:cs="宋体"/>
          <w:sz w:val="21"/>
          <w:szCs w:val="21"/>
        </w:rPr>
        <w:t xml:space="preserve">(3) 服务体系不完整，仅满足上述 </w:t>
      </w:r>
      <w:r>
        <w:rPr>
          <w:rFonts w:hint="eastAsia" w:ascii="宋体" w:hAnsi="宋体" w:eastAsia="宋体" w:cs="宋体"/>
          <w:b/>
          <w:bCs/>
          <w:sz w:val="21"/>
          <w:szCs w:val="21"/>
        </w:rPr>
        <w:t>4</w:t>
      </w:r>
      <w:r>
        <w:rPr>
          <w:rFonts w:hint="eastAsia" w:ascii="宋体" w:hAnsi="宋体" w:eastAsia="宋体" w:cs="宋体"/>
          <w:sz w:val="21"/>
          <w:szCs w:val="21"/>
        </w:rPr>
        <w:t xml:space="preserve"> 项要求中的 </w:t>
      </w:r>
      <w:r>
        <w:rPr>
          <w:rFonts w:hint="eastAsia" w:ascii="宋体" w:hAnsi="宋体" w:eastAsia="宋体" w:cs="宋体"/>
          <w:b/>
          <w:bCs/>
          <w:sz w:val="21"/>
          <w:szCs w:val="21"/>
        </w:rPr>
        <w:t>2</w:t>
      </w:r>
      <w:r>
        <w:rPr>
          <w:rFonts w:hint="eastAsia" w:ascii="宋体" w:hAnsi="宋体" w:eastAsia="宋体" w:cs="宋体"/>
          <w:sz w:val="21"/>
          <w:szCs w:val="21"/>
        </w:rPr>
        <w:t xml:space="preserve"> 项及以下，或关键服务承诺模糊、无明确落地措施，无法保障本项目服务质量：得 </w:t>
      </w:r>
      <w:r>
        <w:rPr>
          <w:rFonts w:hint="eastAsia" w:ascii="宋体" w:hAnsi="宋体" w:eastAsia="宋体" w:cs="宋体"/>
          <w:b/>
          <w:bCs/>
          <w:sz w:val="21"/>
          <w:szCs w:val="21"/>
        </w:rPr>
        <w:t>3</w:t>
      </w:r>
      <w:r>
        <w:rPr>
          <w:rFonts w:hint="eastAsia" w:ascii="宋体" w:hAnsi="宋体" w:eastAsia="宋体" w:cs="宋体"/>
          <w:sz w:val="21"/>
          <w:szCs w:val="21"/>
        </w:rPr>
        <w:t xml:space="preserve"> 分。</w:t>
      </w:r>
    </w:p>
    <w:p>
      <w:pPr>
        <w:pStyle w:val="104"/>
        <w:ind w:firstLine="210" w:firstLineChars="100"/>
        <w:rPr>
          <w:rFonts w:hint="eastAsia" w:ascii="宋体" w:hAnsi="宋体" w:eastAsia="宋体" w:cs="宋体"/>
          <w:sz w:val="21"/>
          <w:szCs w:val="21"/>
        </w:rPr>
      </w:pPr>
      <w:r>
        <w:rPr>
          <w:rFonts w:hint="eastAsia" w:ascii="宋体" w:hAnsi="宋体" w:eastAsia="宋体" w:cs="宋体"/>
          <w:sz w:val="21"/>
          <w:szCs w:val="21"/>
        </w:rPr>
        <w:t xml:space="preserve">(4) 未提供服务体系与保障相关内容，或内容与本项目无关：得 </w:t>
      </w:r>
      <w:r>
        <w:rPr>
          <w:rFonts w:hint="eastAsia" w:ascii="宋体" w:hAnsi="宋体" w:eastAsia="宋体" w:cs="宋体"/>
          <w:b/>
          <w:bCs/>
          <w:sz w:val="21"/>
          <w:szCs w:val="21"/>
        </w:rPr>
        <w:t xml:space="preserve">0 </w:t>
      </w:r>
      <w:r>
        <w:rPr>
          <w:rFonts w:hint="eastAsia" w:ascii="宋体" w:hAnsi="宋体" w:eastAsia="宋体" w:cs="宋体"/>
          <w:sz w:val="21"/>
          <w:szCs w:val="21"/>
        </w:rPr>
        <w:t>分。</w:t>
      </w:r>
    </w:p>
    <w:p>
      <w:pPr>
        <w:pStyle w:val="6"/>
        <w:rPr>
          <w:rFonts w:hint="eastAsia" w:ascii="宋体" w:hAnsi="宋体" w:eastAsia="宋体" w:cs="宋体"/>
          <w:sz w:val="21"/>
          <w:szCs w:val="21"/>
        </w:rPr>
      </w:pPr>
      <w:r>
        <w:rPr>
          <w:rFonts w:hint="eastAsia" w:ascii="宋体" w:hAnsi="宋体" w:eastAsia="宋体" w:cs="宋体"/>
          <w:sz w:val="21"/>
          <w:szCs w:val="21"/>
        </w:rPr>
        <w:t>（三）技术部分（50 分）</w:t>
      </w:r>
    </w:p>
    <w:p>
      <w:pPr>
        <w:pStyle w:val="104"/>
        <w:numPr>
          <w:ilvl w:val="0"/>
          <w:numId w:val="12"/>
        </w:numPr>
        <w:rPr>
          <w:rFonts w:hint="eastAsia" w:ascii="宋体" w:hAnsi="宋体" w:eastAsia="宋体" w:cs="宋体"/>
          <w:sz w:val="21"/>
          <w:szCs w:val="21"/>
        </w:rPr>
      </w:pPr>
      <w:r>
        <w:rPr>
          <w:rFonts w:hint="eastAsia" w:ascii="宋体" w:hAnsi="宋体" w:eastAsia="宋体" w:cs="宋体"/>
          <w:b/>
          <w:bCs/>
          <w:sz w:val="21"/>
          <w:szCs w:val="21"/>
        </w:rPr>
        <w:t>技术方案与规程响应（14 分）</w:t>
      </w:r>
    </w:p>
    <w:p>
      <w:pPr>
        <w:spacing w:line="360" w:lineRule="auto"/>
        <w:ind w:left="420" w:leftChars="200"/>
        <w:rPr>
          <w:rFonts w:hint="eastAsia" w:ascii="宋体" w:hAnsi="宋体" w:cs="宋体"/>
          <w:szCs w:val="21"/>
        </w:rPr>
      </w:pPr>
      <w:r>
        <w:rPr>
          <w:rFonts w:hint="eastAsia" w:ascii="宋体" w:hAnsi="宋体" w:cs="宋体"/>
          <w:szCs w:val="21"/>
        </w:rPr>
        <w:t xml:space="preserve">(1) 完全响应招标要求，技术方案同时满足以下全部条件，得 </w:t>
      </w:r>
      <w:r>
        <w:rPr>
          <w:rFonts w:hint="eastAsia" w:ascii="宋体" w:hAnsi="宋体" w:cs="宋体"/>
          <w:b/>
          <w:bCs/>
          <w:szCs w:val="21"/>
        </w:rPr>
        <w:t xml:space="preserve">14 </w:t>
      </w:r>
      <w:r>
        <w:rPr>
          <w:rFonts w:hint="eastAsia" w:ascii="宋体" w:hAnsi="宋体" w:cs="宋体"/>
          <w:szCs w:val="21"/>
        </w:rPr>
        <w:t>分：</w:t>
      </w:r>
    </w:p>
    <w:p>
      <w:pPr>
        <w:spacing w:line="360" w:lineRule="auto"/>
        <w:ind w:left="420" w:leftChars="200"/>
        <w:rPr>
          <w:rFonts w:hint="eastAsia" w:ascii="宋体" w:hAnsi="宋体" w:cs="宋体"/>
          <w:szCs w:val="21"/>
        </w:rPr>
      </w:pPr>
      <w:r>
        <w:rPr>
          <w:rFonts w:hint="eastAsia" w:ascii="宋体" w:hAnsi="宋体" w:cs="宋体"/>
          <w:szCs w:val="21"/>
        </w:rPr>
        <w:t>① 针对性极强：针对本项目全部仪器设备（含土工、集料、沥青、混凝土、路面检测类），按仪器设备类型逐一明确检定/校准方法，标注每台/套仪器的核心检定项目；</w:t>
      </w:r>
    </w:p>
    <w:p>
      <w:pPr>
        <w:spacing w:line="360" w:lineRule="auto"/>
        <w:ind w:left="420" w:leftChars="200"/>
        <w:rPr>
          <w:rFonts w:hint="eastAsia" w:ascii="宋体" w:hAnsi="宋体" w:cs="宋体"/>
          <w:szCs w:val="21"/>
        </w:rPr>
      </w:pPr>
      <w:r>
        <w:rPr>
          <w:rFonts w:hint="eastAsia" w:ascii="宋体" w:hAnsi="宋体" w:cs="宋体"/>
          <w:szCs w:val="21"/>
        </w:rPr>
        <w:t>② 依据规范齐全：方案中列明所有适用的现行有效 JJG/JJF 计量检定规程、国家计量技术规范及公路行业标准（如 JTG 系列），无遗漏；</w:t>
      </w:r>
    </w:p>
    <w:p>
      <w:pPr>
        <w:spacing w:line="360" w:lineRule="auto"/>
        <w:ind w:left="420" w:leftChars="200"/>
        <w:rPr>
          <w:rFonts w:hint="eastAsia" w:ascii="宋体" w:hAnsi="宋体" w:cs="宋体"/>
          <w:szCs w:val="21"/>
        </w:rPr>
      </w:pPr>
      <w:r>
        <w:rPr>
          <w:rFonts w:hint="eastAsia" w:ascii="宋体" w:hAnsi="宋体" w:cs="宋体"/>
          <w:szCs w:val="21"/>
        </w:rPr>
        <w:t>③ 实施流程完整：包含仪器接收、外观检查、环境条件确认（温湿度、振动、 电压等）、标准器准备、检定实施、原始数据记录、结果判定、数据复核、证书出具的全流程，各环节均有明确操作要求；</w:t>
      </w:r>
    </w:p>
    <w:p>
      <w:pPr>
        <w:spacing w:line="360" w:lineRule="auto"/>
        <w:ind w:left="420" w:leftChars="200"/>
        <w:rPr>
          <w:rFonts w:hint="eastAsia" w:ascii="宋体" w:hAnsi="宋体" w:cs="宋体"/>
          <w:szCs w:val="21"/>
        </w:rPr>
      </w:pPr>
      <w:r>
        <w:rPr>
          <w:rFonts w:hint="eastAsia" w:ascii="宋体" w:hAnsi="宋体" w:cs="宋体"/>
          <w:szCs w:val="21"/>
        </w:rPr>
        <w:t>④ 技术细节明确：列明标准器精度等级、检定环境控制要求、数据处理方法、不确定度评定要求（如需），并针对现场检定仪器制定特殊保障措施；</w:t>
      </w:r>
    </w:p>
    <w:p>
      <w:pPr>
        <w:spacing w:line="360" w:lineRule="auto"/>
        <w:ind w:firstLine="401" w:firstLineChars="191"/>
        <w:rPr>
          <w:rFonts w:hint="eastAsia" w:ascii="宋体" w:hAnsi="宋体" w:cs="宋体"/>
          <w:szCs w:val="21"/>
        </w:rPr>
      </w:pPr>
      <w:r>
        <w:rPr>
          <w:rFonts w:hint="eastAsia" w:ascii="宋体" w:hAnsi="宋体" w:cs="宋体"/>
          <w:szCs w:val="21"/>
        </w:rPr>
        <w:t>⑤ 无模糊表述，所有内容与本项目实际情况完全匹配，可直接指导现场实施。</w:t>
      </w:r>
    </w:p>
    <w:p>
      <w:pPr>
        <w:spacing w:line="360" w:lineRule="auto"/>
        <w:ind w:left="420" w:leftChars="200"/>
        <w:rPr>
          <w:rFonts w:hint="eastAsia" w:ascii="宋体" w:hAnsi="宋体" w:cs="宋体"/>
          <w:szCs w:val="21"/>
        </w:rPr>
      </w:pPr>
      <w:r>
        <w:rPr>
          <w:rFonts w:hint="eastAsia" w:ascii="宋体" w:hAnsi="宋体" w:cs="宋体"/>
          <w:szCs w:val="21"/>
        </w:rPr>
        <w:t xml:space="preserve">(2) 基本响应招标要求，技术方案满足上述①-⑤项中任意 </w:t>
      </w:r>
      <w:r>
        <w:rPr>
          <w:rFonts w:hint="eastAsia" w:ascii="宋体" w:hAnsi="宋体" w:cs="宋体"/>
          <w:b/>
          <w:bCs/>
          <w:szCs w:val="21"/>
        </w:rPr>
        <w:t>4</w:t>
      </w:r>
      <w:r>
        <w:rPr>
          <w:rFonts w:hint="eastAsia" w:ascii="宋体" w:hAnsi="宋体" w:cs="宋体"/>
          <w:szCs w:val="21"/>
        </w:rPr>
        <w:t xml:space="preserve"> 项及以上，无实质性偏差，仅存在少量非关键性瑕疵（如个别仪器方法描述不够具体、部分标准号未列明），不影响整体实施，得 </w:t>
      </w:r>
      <w:r>
        <w:rPr>
          <w:rFonts w:hint="eastAsia" w:ascii="宋体" w:hAnsi="宋体" w:cs="宋体"/>
          <w:b/>
          <w:bCs/>
          <w:szCs w:val="21"/>
        </w:rPr>
        <w:t>10</w:t>
      </w:r>
      <w:r>
        <w:rPr>
          <w:rFonts w:hint="eastAsia" w:ascii="宋体" w:hAnsi="宋体" w:cs="宋体"/>
          <w:szCs w:val="21"/>
        </w:rPr>
        <w:t xml:space="preserve"> 分。</w:t>
      </w:r>
    </w:p>
    <w:p>
      <w:pPr>
        <w:spacing w:line="360" w:lineRule="auto"/>
        <w:ind w:left="420" w:leftChars="200"/>
        <w:rPr>
          <w:rFonts w:hint="eastAsia" w:ascii="宋体" w:hAnsi="宋体" w:cs="宋体"/>
          <w:szCs w:val="21"/>
        </w:rPr>
      </w:pPr>
      <w:r>
        <w:rPr>
          <w:rFonts w:hint="eastAsia" w:ascii="宋体" w:hAnsi="宋体" w:cs="宋体"/>
          <w:szCs w:val="21"/>
        </w:rPr>
        <w:t xml:space="preserve">(3) 部分响应招标要求，技术方案仅满足上述①-⑤项中2-3 项，存在明显瑕疵（如未按本项目仪器分类说明方法、仅列明部分适用规范、流程描述不完整），但核心检定流程无重大缺陷，得 </w:t>
      </w:r>
      <w:r>
        <w:rPr>
          <w:rFonts w:hint="eastAsia" w:ascii="宋体" w:hAnsi="宋体" w:cs="宋体"/>
          <w:b/>
          <w:bCs/>
          <w:szCs w:val="21"/>
        </w:rPr>
        <w:t>6</w:t>
      </w:r>
      <w:r>
        <w:rPr>
          <w:rFonts w:hint="eastAsia" w:ascii="宋体" w:hAnsi="宋体" w:cs="宋体"/>
          <w:szCs w:val="21"/>
        </w:rPr>
        <w:t xml:space="preserve"> 分。</w:t>
      </w:r>
    </w:p>
    <w:p>
      <w:pPr>
        <w:spacing w:line="360" w:lineRule="auto"/>
        <w:ind w:left="420" w:leftChars="200"/>
        <w:rPr>
          <w:rFonts w:hint="eastAsia" w:ascii="宋体" w:hAnsi="宋体" w:cs="宋体"/>
          <w:szCs w:val="21"/>
        </w:rPr>
      </w:pPr>
      <w:r>
        <w:rPr>
          <w:rFonts w:hint="eastAsia" w:ascii="宋体" w:hAnsi="宋体" w:cs="宋体"/>
          <w:szCs w:val="21"/>
        </w:rPr>
        <w:t xml:space="preserve">(4) 响应不足，技术方案仅满足上述①-⑤项中1 项及以下，或内容笼统、与本项目仪器不匹配，无法指导现场实施，得 </w:t>
      </w:r>
      <w:r>
        <w:rPr>
          <w:rFonts w:hint="eastAsia" w:ascii="宋体" w:hAnsi="宋体" w:cs="宋体"/>
          <w:b/>
          <w:bCs/>
          <w:szCs w:val="21"/>
        </w:rPr>
        <w:t>3</w:t>
      </w:r>
      <w:r>
        <w:rPr>
          <w:rFonts w:hint="eastAsia" w:ascii="宋体" w:hAnsi="宋体" w:cs="宋体"/>
          <w:szCs w:val="21"/>
        </w:rPr>
        <w:t xml:space="preserve"> 分。</w:t>
      </w:r>
    </w:p>
    <w:p>
      <w:pPr>
        <w:spacing w:line="360" w:lineRule="auto"/>
        <w:ind w:firstLine="420" w:firstLineChars="200"/>
        <w:rPr>
          <w:rFonts w:hint="eastAsia" w:ascii="宋体" w:hAnsi="宋体" w:cs="宋体"/>
          <w:szCs w:val="21"/>
        </w:rPr>
      </w:pPr>
      <w:r>
        <w:rPr>
          <w:rFonts w:hint="eastAsia" w:ascii="宋体" w:hAnsi="宋体" w:cs="宋体"/>
          <w:szCs w:val="21"/>
        </w:rPr>
        <w:t>(5) 未提供技术方案，或方案与本项目无关、完全不符合招标要求，得</w:t>
      </w:r>
      <w:r>
        <w:rPr>
          <w:rFonts w:hint="eastAsia" w:ascii="宋体" w:hAnsi="宋体" w:cs="宋体"/>
          <w:b/>
          <w:bCs/>
          <w:szCs w:val="21"/>
        </w:rPr>
        <w:t xml:space="preserve"> 0 </w:t>
      </w:r>
      <w:r>
        <w:rPr>
          <w:rFonts w:hint="eastAsia" w:ascii="宋体" w:hAnsi="宋体" w:cs="宋体"/>
          <w:szCs w:val="21"/>
        </w:rPr>
        <w:t>分。</w:t>
      </w:r>
    </w:p>
    <w:p>
      <w:pPr>
        <w:pStyle w:val="104"/>
        <w:numPr>
          <w:ilvl w:val="0"/>
          <w:numId w:val="12"/>
        </w:numPr>
        <w:rPr>
          <w:rFonts w:hint="eastAsia" w:ascii="宋体" w:hAnsi="宋体" w:eastAsia="宋体" w:cs="宋体"/>
          <w:sz w:val="21"/>
          <w:szCs w:val="21"/>
        </w:rPr>
      </w:pPr>
      <w:r>
        <w:rPr>
          <w:rFonts w:hint="eastAsia" w:ascii="宋体" w:hAnsi="宋体" w:eastAsia="宋体" w:cs="宋体"/>
          <w:b/>
          <w:bCs/>
          <w:sz w:val="21"/>
          <w:szCs w:val="21"/>
        </w:rPr>
        <w:t>仪器覆盖能力与校准范围（12 分）</w:t>
      </w:r>
    </w:p>
    <w:p>
      <w:pPr>
        <w:pStyle w:val="104"/>
        <w:numPr>
          <w:ilvl w:val="0"/>
          <w:numId w:val="13"/>
        </w:numPr>
        <w:ind w:left="420" w:leftChars="200" w:firstLine="0"/>
        <w:rPr>
          <w:rFonts w:hint="eastAsia" w:ascii="宋体" w:hAnsi="宋体" w:eastAsia="宋体" w:cs="宋体"/>
          <w:sz w:val="21"/>
          <w:szCs w:val="21"/>
        </w:rPr>
      </w:pPr>
      <w:r>
        <w:rPr>
          <w:rFonts w:hint="eastAsia" w:ascii="宋体" w:hAnsi="宋体" w:eastAsia="宋体" w:cs="宋体"/>
          <w:color w:val="000000"/>
          <w:sz w:val="21"/>
          <w:szCs w:val="21"/>
          <w:shd w:val="clear" w:color="auto" w:fill="FFFFFF"/>
        </w:rPr>
        <w:t>有效覆盖率100%，全部仪器均可自主完成校准，附完整资质附表、自有标准器检定合格证书：得</w:t>
      </w:r>
      <w:r>
        <w:rPr>
          <w:rFonts w:hint="eastAsia" w:ascii="宋体" w:hAnsi="宋体" w:eastAsia="宋体" w:cs="宋体"/>
          <w:b/>
          <w:bCs/>
          <w:color w:val="000000"/>
          <w:sz w:val="21"/>
          <w:szCs w:val="21"/>
          <w:shd w:val="clear" w:color="auto" w:fill="FFFFFF"/>
        </w:rPr>
        <w:t>12</w:t>
      </w:r>
      <w:r>
        <w:rPr>
          <w:rFonts w:hint="eastAsia" w:ascii="宋体" w:hAnsi="宋体" w:eastAsia="宋体" w:cs="宋体"/>
          <w:color w:val="000000"/>
          <w:sz w:val="21"/>
          <w:szCs w:val="21"/>
          <w:shd w:val="clear" w:color="auto" w:fill="FFFFFF"/>
        </w:rPr>
        <w:t>分；</w:t>
      </w:r>
    </w:p>
    <w:p>
      <w:pPr>
        <w:pStyle w:val="104"/>
        <w:numPr>
          <w:ilvl w:val="0"/>
          <w:numId w:val="13"/>
        </w:numPr>
        <w:ind w:left="420" w:leftChars="200" w:firstLine="0"/>
        <w:rPr>
          <w:rFonts w:hint="eastAsia" w:ascii="宋体" w:hAnsi="宋体" w:eastAsia="宋体" w:cs="宋体"/>
          <w:sz w:val="21"/>
          <w:szCs w:val="21"/>
        </w:rPr>
      </w:pPr>
      <w:r>
        <w:rPr>
          <w:rFonts w:hint="eastAsia" w:ascii="宋体" w:hAnsi="宋体" w:eastAsia="宋体" w:cs="宋体"/>
          <w:color w:val="000000"/>
          <w:sz w:val="21"/>
          <w:szCs w:val="21"/>
          <w:shd w:val="clear" w:color="auto" w:fill="FFFFFF"/>
        </w:rPr>
        <w:t>有效覆盖率90%（含）～99%（含），无法自校仪器已提供合规外协资质及合作合同：得</w:t>
      </w:r>
      <w:r>
        <w:rPr>
          <w:rFonts w:hint="eastAsia" w:ascii="宋体" w:hAnsi="宋体" w:eastAsia="宋体" w:cs="宋体"/>
          <w:b/>
          <w:bCs/>
          <w:color w:val="000000"/>
          <w:sz w:val="21"/>
          <w:szCs w:val="21"/>
          <w:shd w:val="clear" w:color="auto" w:fill="FFFFFF"/>
        </w:rPr>
        <w:t>9</w:t>
      </w:r>
      <w:r>
        <w:rPr>
          <w:rFonts w:hint="eastAsia" w:ascii="宋体" w:hAnsi="宋体" w:eastAsia="宋体" w:cs="宋体"/>
          <w:color w:val="000000"/>
          <w:sz w:val="21"/>
          <w:szCs w:val="21"/>
          <w:shd w:val="clear" w:color="auto" w:fill="FFFFFF"/>
        </w:rPr>
        <w:t>分；未提供外协证明的，对应仪器不计入有效覆盖、重新核算覆盖率；</w:t>
      </w:r>
    </w:p>
    <w:p>
      <w:pPr>
        <w:pStyle w:val="104"/>
        <w:numPr>
          <w:ilvl w:val="0"/>
          <w:numId w:val="13"/>
        </w:numPr>
        <w:ind w:left="420" w:leftChars="200" w:firstLine="0"/>
        <w:rPr>
          <w:rFonts w:hint="eastAsia" w:ascii="宋体" w:hAnsi="宋体" w:eastAsia="宋体" w:cs="宋体"/>
          <w:sz w:val="21"/>
          <w:szCs w:val="21"/>
        </w:rPr>
      </w:pPr>
      <w:r>
        <w:rPr>
          <w:rFonts w:hint="eastAsia" w:ascii="宋体" w:hAnsi="宋体" w:eastAsia="宋体" w:cs="宋体"/>
          <w:color w:val="000000"/>
          <w:sz w:val="21"/>
          <w:szCs w:val="21"/>
          <w:shd w:val="clear" w:color="auto" w:fill="FFFFFF"/>
        </w:rPr>
        <w:t>有效覆盖率80%（含）～89%（含），无法自校仪器外协资质、合作协议资料齐全：得</w:t>
      </w:r>
      <w:r>
        <w:rPr>
          <w:rFonts w:hint="eastAsia" w:ascii="宋体" w:hAnsi="宋体" w:eastAsia="宋体" w:cs="宋体"/>
          <w:b/>
          <w:bCs/>
          <w:color w:val="000000"/>
          <w:sz w:val="21"/>
          <w:szCs w:val="21"/>
          <w:shd w:val="clear" w:color="auto" w:fill="FFFFFF"/>
        </w:rPr>
        <w:t>4</w:t>
      </w:r>
      <w:r>
        <w:rPr>
          <w:rFonts w:hint="eastAsia" w:ascii="宋体" w:hAnsi="宋体" w:eastAsia="宋体" w:cs="宋体"/>
          <w:color w:val="000000"/>
          <w:sz w:val="21"/>
          <w:szCs w:val="21"/>
          <w:shd w:val="clear" w:color="auto" w:fill="FFFFFF"/>
        </w:rPr>
        <w:t>分；缺外协佐证材料，剔除对应仪器后重新核算覆盖率；</w:t>
      </w:r>
    </w:p>
    <w:p>
      <w:pPr>
        <w:pStyle w:val="104"/>
        <w:numPr>
          <w:ilvl w:val="0"/>
          <w:numId w:val="13"/>
        </w:numPr>
        <w:ind w:left="420" w:leftChars="200" w:firstLine="0"/>
        <w:rPr>
          <w:rFonts w:hint="eastAsia" w:ascii="宋体" w:hAnsi="宋体" w:eastAsia="宋体" w:cs="宋体"/>
          <w:sz w:val="21"/>
          <w:szCs w:val="21"/>
        </w:rPr>
      </w:pPr>
      <w:r>
        <w:rPr>
          <w:rFonts w:hint="eastAsia" w:ascii="宋体" w:hAnsi="宋体" w:eastAsia="宋体" w:cs="宋体"/>
          <w:color w:val="000000"/>
          <w:sz w:val="21"/>
          <w:szCs w:val="21"/>
          <w:shd w:val="clear" w:color="auto" w:fill="FFFFFF"/>
        </w:rPr>
        <w:t xml:space="preserve">有效覆盖率低于 80%，或未覆盖仪器无法提供合法有效的外协校准资质材料：得 </w:t>
      </w:r>
      <w:r>
        <w:rPr>
          <w:rFonts w:hint="eastAsia" w:ascii="宋体" w:hAnsi="宋体" w:eastAsia="宋体" w:cs="宋体"/>
          <w:b/>
          <w:bCs/>
          <w:color w:val="000000"/>
          <w:sz w:val="21"/>
          <w:szCs w:val="21"/>
          <w:shd w:val="clear" w:color="auto" w:fill="FFFFFF"/>
        </w:rPr>
        <w:t xml:space="preserve">0 </w:t>
      </w:r>
      <w:r>
        <w:rPr>
          <w:rFonts w:hint="eastAsia" w:ascii="宋体" w:hAnsi="宋体" w:eastAsia="宋体" w:cs="宋体"/>
          <w:color w:val="000000"/>
          <w:sz w:val="21"/>
          <w:szCs w:val="21"/>
          <w:shd w:val="clear" w:color="auto" w:fill="FFFFFF"/>
        </w:rPr>
        <w:t>分。</w:t>
      </w:r>
    </w:p>
    <w:p>
      <w:pPr>
        <w:pStyle w:val="104"/>
        <w:numPr>
          <w:ilvl w:val="0"/>
          <w:numId w:val="12"/>
        </w:numPr>
        <w:rPr>
          <w:rFonts w:hint="eastAsia" w:ascii="宋体" w:hAnsi="宋体" w:eastAsia="宋体" w:cs="宋体"/>
          <w:sz w:val="21"/>
          <w:szCs w:val="21"/>
        </w:rPr>
      </w:pPr>
      <w:r>
        <w:rPr>
          <w:rFonts w:hint="eastAsia" w:ascii="宋体" w:hAnsi="宋体" w:eastAsia="宋体" w:cs="宋体"/>
          <w:b/>
          <w:bCs/>
          <w:sz w:val="21"/>
          <w:szCs w:val="21"/>
        </w:rPr>
        <w:t>人员配置与专业能力（10 分）</w:t>
      </w:r>
    </w:p>
    <w:p>
      <w:pPr>
        <w:pStyle w:val="104"/>
        <w:numPr>
          <w:ilvl w:val="0"/>
          <w:numId w:val="14"/>
        </w:numPr>
        <w:ind w:left="420" w:leftChars="200" w:firstLine="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项目负责人（</w:t>
      </w:r>
      <w:r>
        <w:rPr>
          <w:rFonts w:hint="eastAsia" w:ascii="宋体" w:hAnsi="宋体" w:eastAsia="宋体" w:cs="宋体"/>
          <w:b/>
          <w:bCs/>
          <w:sz w:val="21"/>
          <w:szCs w:val="21"/>
          <w:shd w:val="clear" w:color="auto" w:fill="FFFFFF"/>
        </w:rPr>
        <w:t xml:space="preserve">4 </w:t>
      </w:r>
      <w:r>
        <w:rPr>
          <w:rFonts w:hint="eastAsia" w:ascii="宋体" w:hAnsi="宋体" w:eastAsia="宋体" w:cs="宋体"/>
          <w:sz w:val="21"/>
          <w:szCs w:val="21"/>
          <w:shd w:val="clear" w:color="auto" w:fill="FFFFFF"/>
        </w:rPr>
        <w:t xml:space="preserve">分）：拟任项目负责人持有注册计量师证书或工程中级及以上职称证书，同时能提供 5 年及以上公路工程试验仪器标定从业佐证材料（任职证明、过往同类项目合同等），两项资料齐全得 </w:t>
      </w:r>
      <w:r>
        <w:rPr>
          <w:rFonts w:hint="eastAsia" w:ascii="宋体" w:hAnsi="宋体" w:eastAsia="宋体" w:cs="宋体"/>
          <w:b/>
          <w:bCs/>
          <w:sz w:val="21"/>
          <w:szCs w:val="21"/>
          <w:shd w:val="clear" w:color="auto" w:fill="FFFFFF"/>
        </w:rPr>
        <w:t xml:space="preserve">4 </w:t>
      </w:r>
      <w:r>
        <w:rPr>
          <w:rFonts w:hint="eastAsia" w:ascii="宋体" w:hAnsi="宋体" w:eastAsia="宋体" w:cs="宋体"/>
          <w:sz w:val="21"/>
          <w:szCs w:val="21"/>
          <w:shd w:val="clear" w:color="auto" w:fill="FFFFFF"/>
        </w:rPr>
        <w:t>分；缺少任一证明材料，本小项</w:t>
      </w:r>
      <w:r>
        <w:rPr>
          <w:rFonts w:hint="eastAsia" w:ascii="宋体" w:hAnsi="宋体" w:eastAsia="宋体" w:cs="宋体"/>
          <w:b/>
          <w:bCs/>
          <w:sz w:val="21"/>
          <w:szCs w:val="21"/>
          <w:shd w:val="clear" w:color="auto" w:fill="FFFFFF"/>
        </w:rPr>
        <w:t xml:space="preserve"> 0 </w:t>
      </w:r>
      <w:r>
        <w:rPr>
          <w:rFonts w:hint="eastAsia" w:ascii="宋体" w:hAnsi="宋体" w:eastAsia="宋体" w:cs="宋体"/>
          <w:sz w:val="21"/>
          <w:szCs w:val="21"/>
          <w:shd w:val="clear" w:color="auto" w:fill="FFFFFF"/>
        </w:rPr>
        <w:t>分；</w:t>
      </w:r>
    </w:p>
    <w:p>
      <w:pPr>
        <w:pStyle w:val="104"/>
        <w:numPr>
          <w:ilvl w:val="0"/>
          <w:numId w:val="14"/>
        </w:numPr>
        <w:ind w:left="420" w:leftChars="200" w:firstLine="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派驻本项目所有现场校准人员全部持有有效期内计量检定 / 校准上岗证书，全员证书复印件齐全得</w:t>
      </w:r>
      <w:r>
        <w:rPr>
          <w:rFonts w:hint="eastAsia" w:ascii="宋体" w:hAnsi="宋体" w:eastAsia="宋体" w:cs="宋体"/>
          <w:b/>
          <w:bCs/>
          <w:sz w:val="21"/>
          <w:szCs w:val="21"/>
          <w:shd w:val="clear" w:color="auto" w:fill="FFFFFF"/>
        </w:rPr>
        <w:t xml:space="preserve"> 4 </w:t>
      </w:r>
      <w:r>
        <w:rPr>
          <w:rFonts w:hint="eastAsia" w:ascii="宋体" w:hAnsi="宋体" w:eastAsia="宋体" w:cs="宋体"/>
          <w:sz w:val="21"/>
          <w:szCs w:val="21"/>
          <w:shd w:val="clear" w:color="auto" w:fill="FFFFFF"/>
        </w:rPr>
        <w:t xml:space="preserve">分；每 1 人无有效持证证件扣 </w:t>
      </w:r>
      <w:r>
        <w:rPr>
          <w:rFonts w:hint="eastAsia" w:ascii="宋体" w:hAnsi="宋体" w:eastAsia="宋体" w:cs="宋体"/>
          <w:b/>
          <w:bCs/>
          <w:sz w:val="21"/>
          <w:szCs w:val="21"/>
          <w:shd w:val="clear" w:color="auto" w:fill="FFFFFF"/>
        </w:rPr>
        <w:t xml:space="preserve">1 </w:t>
      </w:r>
      <w:r>
        <w:rPr>
          <w:rFonts w:hint="eastAsia" w:ascii="宋体" w:hAnsi="宋体" w:eastAsia="宋体" w:cs="宋体"/>
          <w:sz w:val="21"/>
          <w:szCs w:val="21"/>
          <w:shd w:val="clear" w:color="auto" w:fill="FFFFFF"/>
        </w:rPr>
        <w:t>分，本小分值扣满为止；</w:t>
      </w:r>
    </w:p>
    <w:p>
      <w:pPr>
        <w:pStyle w:val="104"/>
        <w:numPr>
          <w:ilvl w:val="0"/>
          <w:numId w:val="14"/>
        </w:numPr>
        <w:ind w:left="420" w:leftChars="200" w:firstLine="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团队配置合理性（</w:t>
      </w:r>
      <w:r>
        <w:rPr>
          <w:rFonts w:hint="eastAsia" w:ascii="宋体" w:hAnsi="宋体" w:eastAsia="宋体" w:cs="宋体"/>
          <w:b/>
          <w:bCs/>
          <w:sz w:val="21"/>
          <w:szCs w:val="21"/>
          <w:shd w:val="clear" w:color="auto" w:fill="FFFFFF"/>
        </w:rPr>
        <w:t>2</w:t>
      </w:r>
      <w:r>
        <w:rPr>
          <w:rFonts w:hint="eastAsia" w:ascii="宋体" w:hAnsi="宋体" w:eastAsia="宋体" w:cs="宋体"/>
          <w:sz w:val="21"/>
          <w:szCs w:val="21"/>
          <w:shd w:val="clear" w:color="auto" w:fill="FFFFFF"/>
        </w:rPr>
        <w:t xml:space="preserve"> 分）：依据本项目 200 台仪器工作量分类配置人员，岗位分工明确（现场采样、仪器检定、数据复核），人员体量可保障投标承诺工期顺利完工，得 </w:t>
      </w:r>
      <w:r>
        <w:rPr>
          <w:rFonts w:hint="eastAsia" w:ascii="宋体" w:hAnsi="宋体" w:eastAsia="宋体" w:cs="宋体"/>
          <w:b/>
          <w:bCs/>
          <w:sz w:val="21"/>
          <w:szCs w:val="21"/>
          <w:shd w:val="clear" w:color="auto" w:fill="FFFFFF"/>
        </w:rPr>
        <w:t>2</w:t>
      </w:r>
      <w:r>
        <w:rPr>
          <w:rFonts w:hint="eastAsia" w:ascii="宋体" w:hAnsi="宋体" w:eastAsia="宋体" w:cs="宋体"/>
          <w:sz w:val="21"/>
          <w:szCs w:val="21"/>
          <w:shd w:val="clear" w:color="auto" w:fill="FFFFFF"/>
        </w:rPr>
        <w:t xml:space="preserve"> 分；人员配置偏少、分工混乱，无法满足项目工期需求，本小项 </w:t>
      </w:r>
      <w:r>
        <w:rPr>
          <w:rFonts w:hint="eastAsia" w:ascii="宋体" w:hAnsi="宋体" w:eastAsia="宋体" w:cs="宋体"/>
          <w:b/>
          <w:bCs/>
          <w:sz w:val="21"/>
          <w:szCs w:val="21"/>
          <w:shd w:val="clear" w:color="auto" w:fill="FFFFFF"/>
        </w:rPr>
        <w:t>0</w:t>
      </w:r>
      <w:r>
        <w:rPr>
          <w:rFonts w:hint="eastAsia" w:ascii="宋体" w:hAnsi="宋体" w:eastAsia="宋体" w:cs="宋体"/>
          <w:sz w:val="21"/>
          <w:szCs w:val="21"/>
          <w:shd w:val="clear" w:color="auto" w:fill="FFFFFF"/>
        </w:rPr>
        <w:t xml:space="preserve"> 分。</w:t>
      </w:r>
    </w:p>
    <w:p>
      <w:pPr>
        <w:pStyle w:val="104"/>
        <w:numPr>
          <w:ilvl w:val="0"/>
          <w:numId w:val="12"/>
        </w:numPr>
        <w:rPr>
          <w:rFonts w:hint="eastAsia" w:ascii="宋体" w:hAnsi="宋体" w:eastAsia="宋体" w:cs="宋体"/>
          <w:sz w:val="21"/>
          <w:szCs w:val="21"/>
        </w:rPr>
      </w:pPr>
      <w:r>
        <w:rPr>
          <w:rFonts w:hint="eastAsia" w:ascii="宋体" w:hAnsi="宋体" w:eastAsia="宋体" w:cs="宋体"/>
          <w:b/>
          <w:bCs/>
          <w:sz w:val="21"/>
          <w:szCs w:val="21"/>
        </w:rPr>
        <w:t>工期与现场服务（8 分）</w:t>
      </w:r>
    </w:p>
    <w:p>
      <w:pPr>
        <w:pStyle w:val="104"/>
        <w:numPr>
          <w:ilvl w:val="0"/>
          <w:numId w:val="15"/>
        </w:numPr>
        <w:ind w:left="420" w:leftChars="200" w:firstLine="0"/>
        <w:rPr>
          <w:rFonts w:hint="eastAsia" w:ascii="宋体" w:hAnsi="宋体" w:eastAsia="宋体" w:cs="宋体"/>
          <w:color w:val="FF0000"/>
          <w:sz w:val="21"/>
          <w:szCs w:val="21"/>
          <w:shd w:val="clear" w:color="auto" w:fill="FFFFFF"/>
        </w:rPr>
      </w:pPr>
      <w:r>
        <w:rPr>
          <w:rFonts w:hint="eastAsia" w:ascii="宋体" w:hAnsi="宋体" w:eastAsia="宋体" w:cs="宋体"/>
          <w:sz w:val="21"/>
          <w:szCs w:val="21"/>
          <w:shd w:val="clear" w:color="auto" w:fill="FFFFFF"/>
        </w:rPr>
        <w:t>书面</w:t>
      </w:r>
      <w:r>
        <w:rPr>
          <w:rFonts w:hint="eastAsia" w:ascii="宋体" w:hAnsi="宋体" w:eastAsia="宋体" w:cs="宋体"/>
          <w:color w:val="000000"/>
          <w:sz w:val="21"/>
          <w:szCs w:val="21"/>
          <w:shd w:val="clear" w:color="auto" w:fill="FFFFFF"/>
        </w:rPr>
        <w:t xml:space="preserve">承诺接到指令后48 小时内上门进场标定，仪器检定完成后 </w:t>
      </w:r>
      <w:r>
        <w:rPr>
          <w:rFonts w:hint="eastAsia" w:ascii="宋体" w:hAnsi="宋体" w:eastAsia="宋体" w:cs="宋体"/>
          <w:color w:val="0000FF"/>
          <w:sz w:val="21"/>
          <w:szCs w:val="21"/>
          <w:shd w:val="clear" w:color="auto" w:fill="FFFFFF"/>
        </w:rPr>
        <w:t xml:space="preserve">3 </w:t>
      </w:r>
      <w:r>
        <w:rPr>
          <w:rFonts w:hint="eastAsia" w:ascii="宋体" w:hAnsi="宋体" w:eastAsia="宋体" w:cs="宋体"/>
          <w:color w:val="000000"/>
          <w:sz w:val="21"/>
          <w:szCs w:val="21"/>
          <w:shd w:val="clear" w:color="auto" w:fill="FFFFFF"/>
        </w:rPr>
        <w:t>个工作日内出具全套合规可溯源校准证书：得 8 分；</w:t>
      </w:r>
    </w:p>
    <w:p>
      <w:pPr>
        <w:pStyle w:val="104"/>
        <w:numPr>
          <w:ilvl w:val="0"/>
          <w:numId w:val="15"/>
        </w:numPr>
        <w:ind w:left="420" w:leftChars="200" w:firstLine="0"/>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书面承诺接到指令后 3～5 个自然日内抵达现场，按期出具合格校准证书：得 6 分；</w:t>
      </w:r>
    </w:p>
    <w:p>
      <w:pPr>
        <w:pStyle w:val="104"/>
        <w:numPr>
          <w:ilvl w:val="0"/>
          <w:numId w:val="15"/>
        </w:numPr>
        <w:ind w:left="420" w:leftChars="200" w:firstLine="0"/>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书面承诺接到指令后 6～7 个自然日内抵达现场，按期出具合格校准证书：得 3 分；</w:t>
      </w:r>
    </w:p>
    <w:p>
      <w:pPr>
        <w:pStyle w:val="104"/>
        <w:numPr>
          <w:ilvl w:val="0"/>
          <w:numId w:val="15"/>
        </w:numPr>
        <w:ind w:left="420" w:leftChars="200" w:firstLine="0"/>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承诺上门到场周期＞7 天，或无明确书面工期承诺、证书交付时限约定模糊：得 0 分。</w:t>
      </w:r>
    </w:p>
    <w:p>
      <w:pPr>
        <w:pStyle w:val="104"/>
        <w:numPr>
          <w:ilvl w:val="0"/>
          <w:numId w:val="12"/>
        </w:numPr>
        <w:rPr>
          <w:rFonts w:hint="eastAsia" w:ascii="宋体" w:hAnsi="宋体" w:eastAsia="宋体" w:cs="宋体"/>
          <w:sz w:val="21"/>
          <w:szCs w:val="21"/>
        </w:rPr>
      </w:pPr>
      <w:r>
        <w:rPr>
          <w:rFonts w:hint="eastAsia" w:ascii="宋体" w:hAnsi="宋体" w:eastAsia="宋体" w:cs="宋体"/>
          <w:b/>
          <w:bCs/>
          <w:sz w:val="21"/>
          <w:szCs w:val="21"/>
        </w:rPr>
        <w:t>质量控制与溯源保障（6 分）</w:t>
      </w:r>
    </w:p>
    <w:p>
      <w:pPr>
        <w:spacing w:line="360" w:lineRule="auto"/>
        <w:rPr>
          <w:rFonts w:hint="eastAsia" w:ascii="宋体" w:hAnsi="宋体" w:cs="宋体"/>
          <w:szCs w:val="21"/>
        </w:rPr>
      </w:pPr>
      <w:r>
        <w:rPr>
          <w:rFonts w:hint="eastAsia" w:ascii="宋体" w:hAnsi="宋体" w:cs="宋体"/>
          <w:szCs w:val="21"/>
        </w:rPr>
        <w:t xml:space="preserve">   (1) 同时满足以下全部条件，得</w:t>
      </w:r>
      <w:r>
        <w:rPr>
          <w:rFonts w:hint="eastAsia" w:ascii="宋体" w:hAnsi="宋体" w:cs="宋体"/>
          <w:b/>
          <w:bCs/>
          <w:szCs w:val="21"/>
        </w:rPr>
        <w:t xml:space="preserve"> 6 </w:t>
      </w:r>
      <w:r>
        <w:rPr>
          <w:rFonts w:hint="eastAsia" w:ascii="宋体" w:hAnsi="宋体" w:cs="宋体"/>
          <w:szCs w:val="21"/>
        </w:rPr>
        <w:t>分：</w:t>
      </w:r>
    </w:p>
    <w:p>
      <w:pPr>
        <w:spacing w:line="360" w:lineRule="auto"/>
        <w:ind w:left="357" w:leftChars="170"/>
        <w:rPr>
          <w:rFonts w:hint="eastAsia" w:ascii="宋体" w:hAnsi="宋体" w:cs="宋体"/>
          <w:szCs w:val="21"/>
        </w:rPr>
      </w:pPr>
      <w:r>
        <w:rPr>
          <w:rFonts w:hint="eastAsia" w:ascii="宋体" w:hAnsi="宋体" w:cs="宋体"/>
          <w:szCs w:val="21"/>
        </w:rPr>
        <w:t>① 量值溯源清晰：所有用于检定 / 校准的标准器均经法定计量机构检定合格、在有效期内，可提供标准器检定证书复印件，量值可直接溯源至国家计量基准；</w:t>
      </w:r>
    </w:p>
    <w:p>
      <w:pPr>
        <w:spacing w:line="360" w:lineRule="auto"/>
        <w:ind w:left="357" w:leftChars="170"/>
        <w:rPr>
          <w:rFonts w:hint="eastAsia" w:ascii="宋体" w:hAnsi="宋体" w:cs="宋体"/>
          <w:szCs w:val="21"/>
        </w:rPr>
      </w:pPr>
      <w:r>
        <w:rPr>
          <w:rFonts w:hint="eastAsia" w:ascii="宋体" w:hAnsi="宋体" w:cs="宋体"/>
          <w:szCs w:val="21"/>
        </w:rPr>
        <w:t>② 质控体系完善：具备完整的内部质量控制措施，包含期间核查、能力验证、数据双人复核制度，提供相关制度文件；</w:t>
      </w:r>
    </w:p>
    <w:p>
      <w:pPr>
        <w:spacing w:line="360" w:lineRule="auto"/>
        <w:ind w:left="357" w:leftChars="170"/>
        <w:rPr>
          <w:rFonts w:hint="eastAsia" w:ascii="宋体" w:hAnsi="宋体" w:cs="宋体"/>
          <w:szCs w:val="21"/>
        </w:rPr>
      </w:pPr>
      <w:r>
        <w:rPr>
          <w:rFonts w:hint="eastAsia" w:ascii="宋体" w:hAnsi="宋体" w:cs="宋体"/>
          <w:szCs w:val="21"/>
        </w:rPr>
        <w:t>③ 记录与证书保障：承诺检定 / 校准原始记录完整可追溯，出具的证书可在官方平台查询，且符合公路工程试验检测机构的资料归档要求。</w:t>
      </w:r>
    </w:p>
    <w:p>
      <w:pPr>
        <w:spacing w:line="360" w:lineRule="auto"/>
        <w:ind w:left="283" w:leftChars="135"/>
        <w:rPr>
          <w:rFonts w:hint="eastAsia" w:ascii="宋体" w:hAnsi="宋体" w:cs="宋体"/>
          <w:szCs w:val="21"/>
        </w:rPr>
      </w:pPr>
      <w:r>
        <w:rPr>
          <w:rFonts w:hint="eastAsia" w:ascii="宋体" w:hAnsi="宋体" w:cs="宋体"/>
          <w:szCs w:val="21"/>
        </w:rPr>
        <w:t>(2) 基本满足上述条件，标准器均在有效期内、量值溯源有效，仅存在少量非关键性瑕疵（如未提供完整内部质控制度、原始记录模板不完整），不影响检定 / 校准结果有效性，得</w:t>
      </w:r>
      <w:r>
        <w:rPr>
          <w:rFonts w:hint="eastAsia" w:ascii="宋体" w:hAnsi="宋体" w:cs="宋体"/>
          <w:b/>
          <w:bCs/>
          <w:szCs w:val="21"/>
        </w:rPr>
        <w:t xml:space="preserve"> 3 </w:t>
      </w:r>
      <w:r>
        <w:rPr>
          <w:rFonts w:hint="eastAsia" w:ascii="宋体" w:hAnsi="宋体" w:cs="宋体"/>
          <w:szCs w:val="21"/>
        </w:rPr>
        <w:t>分；</w:t>
      </w:r>
    </w:p>
    <w:p>
      <w:pPr>
        <w:spacing w:line="360" w:lineRule="auto"/>
        <w:ind w:left="283" w:leftChars="135"/>
      </w:pPr>
      <w:r>
        <w:rPr>
          <w:rFonts w:hint="eastAsia" w:ascii="宋体" w:hAnsi="宋体" w:cs="宋体"/>
          <w:szCs w:val="21"/>
        </w:rPr>
        <w:t xml:space="preserve">(3) 无有效的量值溯源保障措施，或内部质控体系缺失，无法保障检定 / 校准结果准确性，得 </w:t>
      </w:r>
      <w:r>
        <w:rPr>
          <w:rFonts w:hint="eastAsia" w:ascii="宋体" w:hAnsi="宋体" w:cs="宋体"/>
          <w:b/>
          <w:bCs/>
          <w:szCs w:val="21"/>
        </w:rPr>
        <w:t>0</w:t>
      </w:r>
      <w:r>
        <w:rPr>
          <w:rFonts w:hint="eastAsia" w:ascii="宋体" w:hAnsi="宋体" w:cs="宋体"/>
          <w:szCs w:val="21"/>
        </w:rPr>
        <w:t xml:space="preserve"> 分。</w:t>
      </w:r>
    </w:p>
    <w:p>
      <w:pPr>
        <w:spacing w:line="360" w:lineRule="exact"/>
        <w:ind w:firstLine="420" w:firstLineChars="200"/>
        <w:rPr>
          <w:rFonts w:ascii="宋体" w:hAnsi="宋体"/>
          <w:bCs/>
          <w:szCs w:val="21"/>
        </w:rPr>
      </w:pPr>
    </w:p>
    <w:p>
      <w:pPr>
        <w:pStyle w:val="3"/>
        <w:jc w:val="center"/>
        <w:rPr>
          <w:rFonts w:hint="eastAsia"/>
        </w:rPr>
      </w:pPr>
      <w:r>
        <w:br w:type="page"/>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jc w:val="center"/>
        <w:rPr>
          <w:rFonts w:hint="eastAsia"/>
        </w:rPr>
      </w:pPr>
      <w:bookmarkStart w:id="73" w:name="_Toc29517"/>
      <w:bookmarkStart w:id="74" w:name="_Toc29166"/>
      <w:bookmarkStart w:id="75" w:name="_Toc74323460"/>
      <w:bookmarkStart w:id="76" w:name="_Toc26923"/>
      <w:bookmarkStart w:id="77" w:name="_Toc27641"/>
      <w:bookmarkStart w:id="78" w:name="_Toc20414"/>
      <w:bookmarkStart w:id="79" w:name="OLE_LINK2"/>
      <w:r>
        <w:rPr>
          <w:rFonts w:hint="eastAsia"/>
        </w:rPr>
        <w:t>第五章 响应文件格式</w:t>
      </w:r>
      <w:bookmarkEnd w:id="73"/>
      <w:bookmarkEnd w:id="74"/>
      <w:bookmarkEnd w:id="75"/>
      <w:bookmarkEnd w:id="76"/>
      <w:bookmarkEnd w:id="77"/>
      <w:bookmarkEnd w:id="78"/>
    </w:p>
    <w:bookmarkEnd w:id="79"/>
    <w:p>
      <w:pPr>
        <w:spacing w:line="240" w:lineRule="atLeast"/>
        <w:rPr>
          <w:rFonts w:hint="eastAsia" w:ascii="宋体" w:hAnsi="宋体"/>
          <w:b/>
          <w:sz w:val="32"/>
          <w:szCs w:val="32"/>
        </w:rPr>
      </w:pPr>
    </w:p>
    <w:p>
      <w:pPr>
        <w:spacing w:line="240" w:lineRule="atLeast"/>
        <w:rPr>
          <w:rFonts w:hint="eastAsia" w:ascii="宋体" w:hAnsi="宋体"/>
          <w:b/>
          <w:sz w:val="32"/>
          <w:szCs w:val="32"/>
        </w:rPr>
      </w:pPr>
    </w:p>
    <w:p>
      <w:pPr>
        <w:spacing w:line="240" w:lineRule="atLeast"/>
        <w:rPr>
          <w:rFonts w:hint="eastAsia" w:ascii="宋体" w:hAnsi="宋体"/>
          <w:b/>
          <w:sz w:val="32"/>
          <w:szCs w:val="32"/>
        </w:rPr>
      </w:pPr>
    </w:p>
    <w:p>
      <w:pPr>
        <w:spacing w:line="240" w:lineRule="atLeast"/>
        <w:rPr>
          <w:rFonts w:hint="eastAsia" w:ascii="宋体" w:hAnsi="宋体"/>
          <w:b/>
          <w:sz w:val="32"/>
          <w:szCs w:val="32"/>
        </w:rPr>
      </w:pPr>
    </w:p>
    <w:p>
      <w:pPr>
        <w:spacing w:line="240" w:lineRule="atLeast"/>
        <w:rPr>
          <w:rFonts w:hint="eastAsia" w:ascii="宋体" w:hAnsi="宋体"/>
          <w:b/>
          <w:sz w:val="32"/>
          <w:szCs w:val="32"/>
        </w:rPr>
      </w:pPr>
    </w:p>
    <w:p>
      <w:pPr>
        <w:spacing w:line="240" w:lineRule="atLeast"/>
        <w:rPr>
          <w:rFonts w:hint="eastAsia" w:ascii="宋体" w:hAnsi="宋体"/>
          <w:b/>
          <w:sz w:val="32"/>
          <w:szCs w:val="32"/>
        </w:rPr>
      </w:pPr>
    </w:p>
    <w:p>
      <w:pPr>
        <w:spacing w:line="240" w:lineRule="atLeast"/>
        <w:rPr>
          <w:rFonts w:hint="eastAsia" w:ascii="宋体" w:hAnsi="宋体"/>
          <w:b/>
          <w:sz w:val="32"/>
          <w:szCs w:val="32"/>
        </w:rPr>
      </w:pPr>
    </w:p>
    <w:p>
      <w:pPr>
        <w:spacing w:line="240" w:lineRule="atLeast"/>
        <w:rPr>
          <w:rFonts w:hint="eastAsia" w:ascii="宋体" w:hAnsi="宋体"/>
          <w:b/>
          <w:sz w:val="32"/>
          <w:szCs w:val="32"/>
        </w:rPr>
      </w:pPr>
    </w:p>
    <w:p>
      <w:pPr>
        <w:spacing w:line="240" w:lineRule="atLeast"/>
        <w:rPr>
          <w:rFonts w:hint="eastAsia" w:ascii="宋体" w:hAnsi="宋体"/>
          <w:b/>
          <w:sz w:val="32"/>
          <w:szCs w:val="32"/>
        </w:rPr>
      </w:pPr>
    </w:p>
    <w:p>
      <w:pPr>
        <w:spacing w:line="240" w:lineRule="atLeast"/>
        <w:rPr>
          <w:rFonts w:hint="eastAsia" w:ascii="宋体" w:hAnsi="宋体"/>
          <w:b/>
          <w:sz w:val="32"/>
          <w:szCs w:val="32"/>
        </w:rPr>
      </w:pPr>
    </w:p>
    <w:p>
      <w:pPr>
        <w:spacing w:line="240" w:lineRule="atLeast"/>
        <w:rPr>
          <w:rFonts w:hint="eastAsia" w:ascii="宋体" w:hAnsi="宋体"/>
          <w:b/>
          <w:sz w:val="32"/>
          <w:szCs w:val="32"/>
        </w:rPr>
      </w:pPr>
    </w:p>
    <w:p>
      <w:pPr>
        <w:rPr>
          <w:rFonts w:hint="eastAsia"/>
          <w:b/>
          <w:sz w:val="32"/>
          <w:szCs w:val="32"/>
        </w:rPr>
      </w:pPr>
      <w:bookmarkStart w:id="80" w:name="_Toc71366186"/>
      <w:bookmarkStart w:id="81" w:name="_Toc44229899"/>
      <w:bookmarkStart w:id="82" w:name="_Toc35611516"/>
      <w:bookmarkStart w:id="83" w:name="_Toc31723070"/>
      <w:bookmarkStart w:id="84" w:name="_Toc31728084"/>
      <w:bookmarkStart w:id="85" w:name="_Toc35611438"/>
      <w:r>
        <w:rPr>
          <w:rFonts w:hint="eastAsia"/>
          <w:b/>
          <w:sz w:val="32"/>
          <w:szCs w:val="32"/>
        </w:rPr>
        <w:br w:type="page"/>
      </w:r>
      <w:r>
        <w:rPr>
          <w:rFonts w:hint="eastAsia"/>
          <w:b/>
          <w:sz w:val="32"/>
          <w:szCs w:val="32"/>
        </w:rPr>
        <w:t>一、资格证明文件格式</w:t>
      </w:r>
      <w:bookmarkEnd w:id="80"/>
      <w:bookmarkEnd w:id="81"/>
      <w:bookmarkEnd w:id="82"/>
      <w:bookmarkEnd w:id="83"/>
      <w:bookmarkEnd w:id="84"/>
      <w:bookmarkEnd w:id="85"/>
    </w:p>
    <w:p>
      <w:pPr>
        <w:snapToGrid w:val="0"/>
        <w:spacing w:before="120" w:beforeLines="50" w:after="50" w:line="360" w:lineRule="auto"/>
        <w:ind w:firstLine="645"/>
        <w:rPr>
          <w:rFonts w:ascii="宋体" w:hAnsi="宋体"/>
          <w:sz w:val="32"/>
          <w:szCs w:val="32"/>
        </w:rPr>
      </w:pPr>
      <w:r>
        <w:rPr>
          <w:rFonts w:hint="eastAsia" w:ascii="宋体" w:hAnsi="宋体"/>
          <w:sz w:val="32"/>
          <w:szCs w:val="32"/>
        </w:rPr>
        <w:t>资格证明文件无需编制封面及目录，供应商按照采购文件第二章供应商须知4.1规定自行提供材料（部分格式后附）。</w:t>
      </w:r>
    </w:p>
    <w:p>
      <w:pPr>
        <w:snapToGrid w:val="0"/>
        <w:spacing w:before="120" w:beforeLines="50" w:after="50"/>
        <w:rPr>
          <w:rFonts w:ascii="宋体" w:hAnsi="宋体"/>
          <w:sz w:val="24"/>
          <w:szCs w:val="20"/>
        </w:rPr>
      </w:pPr>
      <w:r>
        <w:rPr>
          <w:rFonts w:ascii="宋体" w:hAnsi="宋体"/>
          <w:sz w:val="24"/>
          <w:szCs w:val="20"/>
        </w:rPr>
        <w:t xml:space="preserve"> </w:t>
      </w: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20" w:lineRule="exact"/>
        <w:jc w:val="left"/>
        <w:rPr>
          <w:rFonts w:hint="eastAsia" w:ascii="宋体" w:hAnsi="宋体"/>
          <w:b/>
          <w:sz w:val="32"/>
          <w:szCs w:val="32"/>
        </w:rPr>
      </w:pPr>
      <w:r>
        <w:rPr>
          <w:rFonts w:hint="eastAsia"/>
          <w:sz w:val="24"/>
        </w:rPr>
        <w:br w:type="page"/>
      </w:r>
      <w:r>
        <w:rPr>
          <w:rFonts w:hint="eastAsia" w:ascii="宋体" w:hAnsi="宋体"/>
          <w:b/>
          <w:bCs/>
          <w:sz w:val="32"/>
          <w:szCs w:val="32"/>
        </w:rPr>
        <w:t>二、报价</w:t>
      </w:r>
      <w:r>
        <w:rPr>
          <w:rFonts w:hint="eastAsia" w:ascii="宋体" w:hAnsi="宋体"/>
          <w:b/>
          <w:sz w:val="32"/>
          <w:szCs w:val="32"/>
        </w:rPr>
        <w:t xml:space="preserve">文件格式 </w:t>
      </w:r>
    </w:p>
    <w:p>
      <w:pPr>
        <w:snapToGrid w:val="0"/>
        <w:spacing w:before="120" w:beforeLines="50" w:after="50" w:line="360" w:lineRule="auto"/>
        <w:jc w:val="left"/>
        <w:rPr>
          <w:rFonts w:ascii="宋体" w:hAnsi="宋体"/>
          <w:b/>
          <w:sz w:val="32"/>
          <w:szCs w:val="32"/>
        </w:rPr>
      </w:pPr>
      <w:r>
        <w:rPr>
          <w:rFonts w:hint="eastAsia" w:ascii="宋体" w:hAnsi="宋体"/>
          <w:b/>
          <w:sz w:val="32"/>
          <w:szCs w:val="32"/>
        </w:rPr>
        <w:t>1.报价文件封面格式</w:t>
      </w:r>
    </w:p>
    <w:p>
      <w:pPr>
        <w:snapToGrid w:val="0"/>
        <w:spacing w:before="120" w:beforeLines="50" w:after="50"/>
        <w:rPr>
          <w:rFonts w:hint="eastAsia" w:ascii="宋体" w:hAnsi="宋体"/>
          <w:bCs/>
          <w:sz w:val="32"/>
          <w:szCs w:val="20"/>
        </w:rPr>
      </w:pPr>
      <w:r>
        <w:rPr>
          <w:rFonts w:hint="eastAsia" w:ascii="宋体" w:hAnsi="宋体"/>
          <w:sz w:val="24"/>
        </w:rPr>
        <w:t xml:space="preserve">                                                    </w:t>
      </w:r>
    </w:p>
    <w:p>
      <w:pPr>
        <w:snapToGrid w:val="0"/>
        <w:spacing w:before="120" w:beforeLines="50" w:after="50"/>
        <w:rPr>
          <w:rFonts w:hint="eastAsia" w:ascii="宋体" w:hAnsi="宋体"/>
          <w:sz w:val="24"/>
          <w:szCs w:val="20"/>
        </w:rPr>
      </w:pPr>
    </w:p>
    <w:p>
      <w:pPr>
        <w:snapToGrid w:val="0"/>
        <w:spacing w:before="120" w:beforeLines="50" w:after="50"/>
        <w:rPr>
          <w:rFonts w:hint="eastAsia" w:ascii="宋体" w:hAnsi="宋体"/>
          <w:sz w:val="24"/>
          <w:szCs w:val="20"/>
        </w:rPr>
      </w:pPr>
    </w:p>
    <w:p>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w:t>
      </w: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pPr>
        <w:snapToGrid w:val="0"/>
        <w:spacing w:before="120" w:beforeLines="50" w:after="50"/>
        <w:ind w:firstLine="720" w:firstLineChars="225"/>
        <w:rPr>
          <w:rFonts w:hint="eastAsia" w:ascii="宋体" w:hAnsi="宋体" w:cs="仿宋_GB2312"/>
          <w:bCs/>
          <w:sz w:val="32"/>
          <w:szCs w:val="32"/>
        </w:rPr>
      </w:pPr>
    </w:p>
    <w:p>
      <w:pPr>
        <w:pStyle w:val="8"/>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pPr>
        <w:pStyle w:val="8"/>
        <w:snapToGrid w:val="0"/>
        <w:spacing w:before="50" w:after="50"/>
        <w:ind w:firstLine="640" w:firstLineChars="200"/>
        <w:rPr>
          <w:rFonts w:hint="eastAsia" w:ascii="宋体" w:hAnsi="宋体" w:cs="仿宋_GB2312"/>
          <w:bCs/>
          <w:sz w:val="32"/>
          <w:szCs w:val="32"/>
        </w:rPr>
      </w:pPr>
    </w:p>
    <w:p>
      <w:pPr>
        <w:pStyle w:val="8"/>
        <w:snapToGrid w:val="0"/>
        <w:spacing w:before="50" w:after="50"/>
        <w:ind w:firstLine="720" w:firstLineChars="225"/>
        <w:rPr>
          <w:rFonts w:hint="eastAsia" w:ascii="宋体" w:hAnsi="宋体" w:cs="仿宋_GB2312"/>
          <w:bCs/>
          <w:sz w:val="32"/>
          <w:szCs w:val="32"/>
        </w:rPr>
      </w:pPr>
    </w:p>
    <w:p>
      <w:pPr>
        <w:pStyle w:val="8"/>
        <w:snapToGrid w:val="0"/>
        <w:spacing w:before="50" w:after="50"/>
        <w:ind w:firstLine="0"/>
        <w:rPr>
          <w:rFonts w:hint="eastAsia" w:ascii="宋体" w:hAnsi="宋体" w:cs="仿宋_GB2312"/>
          <w:bCs/>
          <w:sz w:val="32"/>
          <w:szCs w:val="32"/>
        </w:rPr>
      </w:pPr>
    </w:p>
    <w:p>
      <w:pPr>
        <w:pStyle w:val="8"/>
        <w:snapToGrid w:val="0"/>
        <w:spacing w:before="50" w:after="50"/>
        <w:ind w:firstLine="1280" w:firstLineChars="400"/>
        <w:rPr>
          <w:rFonts w:hint="eastAsia" w:ascii="宋体" w:hAnsi="宋体" w:cs="仿宋_GB2312"/>
          <w:bCs/>
          <w:sz w:val="32"/>
          <w:szCs w:val="32"/>
        </w:rPr>
      </w:pPr>
    </w:p>
    <w:p>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pPr>
        <w:snapToGrid w:val="0"/>
        <w:spacing w:before="120" w:beforeLines="50" w:after="50" w:line="360" w:lineRule="auto"/>
        <w:ind w:right="480" w:firstLine="240" w:firstLineChars="100"/>
        <w:jc w:val="left"/>
        <w:rPr>
          <w:rFonts w:hint="eastAsia" w:ascii="宋体" w:hAnsi="宋体"/>
          <w:b/>
          <w:bCs/>
          <w:sz w:val="24"/>
        </w:rPr>
      </w:pPr>
      <w:r>
        <w:rPr>
          <w:rFonts w:ascii="宋体" w:hAnsi="宋体"/>
          <w:sz w:val="24"/>
        </w:rPr>
        <w:br w:type="page"/>
      </w:r>
      <w:r>
        <w:rPr>
          <w:rFonts w:hint="eastAsia" w:ascii="宋体" w:hAnsi="宋体"/>
          <w:b/>
          <w:bCs/>
          <w:sz w:val="32"/>
          <w:szCs w:val="32"/>
        </w:rPr>
        <w:t>2.报价文件目录</w:t>
      </w:r>
    </w:p>
    <w:p>
      <w:pPr>
        <w:snapToGrid w:val="0"/>
        <w:spacing w:before="120" w:beforeLines="50" w:after="50" w:line="360" w:lineRule="auto"/>
        <w:ind w:firstLine="640" w:firstLineChars="200"/>
        <w:rPr>
          <w:rFonts w:ascii="宋体" w:hAnsi="宋体"/>
          <w:sz w:val="32"/>
          <w:szCs w:val="32"/>
        </w:rPr>
      </w:pPr>
      <w:r>
        <w:rPr>
          <w:rFonts w:hint="eastAsia" w:ascii="宋体" w:hAnsi="宋体"/>
          <w:sz w:val="32"/>
          <w:szCs w:val="32"/>
        </w:rPr>
        <w:t>根据采购文件第二章供应商须知4.2规定及供应商提供的材料自行编写目录（部分格式后附）。</w:t>
      </w:r>
    </w:p>
    <w:p>
      <w:pPr>
        <w:spacing w:line="400" w:lineRule="exact"/>
        <w:rPr>
          <w:rFonts w:hint="eastAsia" w:ascii="仿宋_GB2312" w:hAnsi="仿宋_GB2312" w:eastAsia="仿宋_GB2312" w:cs="仿宋_GB2312"/>
          <w:sz w:val="32"/>
          <w:szCs w:val="32"/>
        </w:rPr>
      </w:pPr>
    </w:p>
    <w:p>
      <w:pPr>
        <w:spacing w:line="300" w:lineRule="auto"/>
        <w:jc w:val="center"/>
        <w:rPr>
          <w:rFonts w:ascii="宋体" w:hAnsi="宋体"/>
          <w:b/>
          <w:sz w:val="36"/>
          <w:szCs w:val="36"/>
        </w:rPr>
      </w:pPr>
      <w:r>
        <w:rPr>
          <w:rFonts w:hint="eastAsia" w:ascii="方正小标宋简体" w:hAnsi="方正小标宋简体" w:eastAsia="方正小标宋简体" w:cs="方正小标宋简体"/>
          <w:sz w:val="44"/>
          <w:szCs w:val="44"/>
        </w:rPr>
        <w:br w:type="page"/>
      </w:r>
      <w:r>
        <w:rPr>
          <w:rFonts w:hint="eastAsia" w:ascii="宋体" w:hAnsi="宋体" w:cs="宋体"/>
          <w:b/>
          <w:bCs/>
          <w:sz w:val="36"/>
          <w:szCs w:val="36"/>
        </w:rPr>
        <w:t>采购</w:t>
      </w:r>
      <w:r>
        <w:rPr>
          <w:rFonts w:hint="eastAsia" w:ascii="宋体" w:hAnsi="宋体"/>
          <w:b/>
          <w:sz w:val="36"/>
          <w:szCs w:val="36"/>
        </w:rPr>
        <w:t>报价表</w:t>
      </w:r>
    </w:p>
    <w:p>
      <w:pPr>
        <w:spacing w:line="360" w:lineRule="exact"/>
        <w:rPr>
          <w:rFonts w:ascii="宋体" w:hAnsi="宋体"/>
          <w:szCs w:val="21"/>
        </w:rPr>
      </w:pPr>
    </w:p>
    <w:p>
      <w:pPr>
        <w:spacing w:line="360" w:lineRule="exact"/>
        <w:ind w:left="1920" w:hanging="1920" w:hangingChars="800"/>
        <w:rPr>
          <w:rFonts w:hint="eastAsia" w:ascii="宋体" w:hAnsi="宋体" w:cs="宋体"/>
          <w:sz w:val="24"/>
        </w:rPr>
      </w:pPr>
      <w:r>
        <w:rPr>
          <w:rFonts w:hint="eastAsia" w:ascii="宋体" w:hAnsi="宋体" w:cs="宋体"/>
          <w:sz w:val="24"/>
        </w:rPr>
        <w:t xml:space="preserve">项目名称：交通工程试验检测中心公路工程试验室仪器设备标定服务采购项目  </w:t>
      </w:r>
    </w:p>
    <w:p>
      <w:pPr>
        <w:spacing w:line="360" w:lineRule="exact"/>
        <w:ind w:left="1920" w:hanging="1920" w:hangingChars="800"/>
        <w:rPr>
          <w:rFonts w:hint="eastAsia" w:ascii="宋体" w:hAnsi="宋体" w:cs="宋体"/>
          <w:szCs w:val="21"/>
        </w:rPr>
      </w:pPr>
      <w:r>
        <w:rPr>
          <w:rFonts w:hint="eastAsia" w:ascii="宋体" w:hAnsi="宋体" w:cs="宋体"/>
          <w:sz w:val="24"/>
        </w:rPr>
        <w:t xml:space="preserve"> </w:t>
      </w:r>
      <w:r>
        <w:rPr>
          <w:b/>
          <w:bCs/>
          <w:sz w:val="28"/>
          <w:szCs w:val="28"/>
        </w:rPr>
        <w:t>公路试验室仪器设备标定一览表</w:t>
      </w:r>
      <w:r>
        <w:rPr>
          <w:rFonts w:hint="eastAsia" w:ascii="宋体" w:hAnsi="宋体" w:cs="宋体"/>
          <w:sz w:val="24"/>
        </w:rPr>
        <w:t xml:space="preserve">   </w:t>
      </w:r>
      <w:r>
        <w:rPr>
          <w:rFonts w:hint="eastAsia" w:ascii="宋体" w:hAnsi="宋体" w:cs="宋体"/>
          <w:szCs w:val="21"/>
        </w:rPr>
        <w:t xml:space="preserve">                     </w:t>
      </w:r>
    </w:p>
    <w:p>
      <w:pPr>
        <w:spacing w:line="360" w:lineRule="exact"/>
        <w:rPr>
          <w:rFonts w:hint="eastAsia" w:ascii="宋体" w:hAnsi="宋体" w:cs="宋体"/>
          <w:sz w:val="30"/>
          <w:szCs w:val="30"/>
        </w:rPr>
      </w:pPr>
      <w:r>
        <w:rPr>
          <w:rFonts w:hint="eastAsia" w:ascii="宋体" w:hAnsi="宋体" w:cs="宋体"/>
          <w:sz w:val="30"/>
          <w:szCs w:val="30"/>
        </w:rPr>
        <w:t xml:space="preserve">       </w:t>
      </w:r>
    </w:p>
    <w:tbl>
      <w:tblPr>
        <w:tblStyle w:val="30"/>
        <w:tblW w:w="9572" w:type="dxa"/>
        <w:jc w:val="center"/>
        <w:tblLayout w:type="autofit"/>
        <w:tblCellMar>
          <w:top w:w="0" w:type="dxa"/>
          <w:left w:w="108" w:type="dxa"/>
          <w:bottom w:w="0" w:type="dxa"/>
          <w:right w:w="108" w:type="dxa"/>
        </w:tblCellMar>
      </w:tblPr>
      <w:tblGrid>
        <w:gridCol w:w="785"/>
        <w:gridCol w:w="1319"/>
        <w:gridCol w:w="1560"/>
        <w:gridCol w:w="1514"/>
        <w:gridCol w:w="994"/>
        <w:gridCol w:w="3400"/>
      </w:tblGrid>
      <w:tr>
        <w:tblPrEx>
          <w:tblCellMar>
            <w:top w:w="0" w:type="dxa"/>
            <w:left w:w="108" w:type="dxa"/>
            <w:bottom w:w="0" w:type="dxa"/>
            <w:right w:w="108" w:type="dxa"/>
          </w:tblCellMar>
        </w:tblPrEx>
        <w:trPr>
          <w:trHeight w:val="499" w:hRule="atLeast"/>
          <w:tblHeader/>
          <w:jc w:val="center"/>
        </w:trPr>
        <w:tc>
          <w:tcPr>
            <w:tcW w:w="78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b/>
                <w:bCs/>
                <w:color w:val="000000"/>
                <w:kern w:val="0"/>
                <w:sz w:val="18"/>
                <w:szCs w:val="18"/>
              </w:rPr>
            </w:pPr>
            <w:r>
              <w:rPr>
                <w:rFonts w:hint="eastAsia"/>
                <w:b/>
                <w:bCs/>
                <w:color w:val="000000"/>
                <w:kern w:val="0"/>
                <w:sz w:val="18"/>
                <w:szCs w:val="18"/>
              </w:rPr>
              <w:t>序号</w:t>
            </w:r>
          </w:p>
        </w:tc>
        <w:tc>
          <w:tcPr>
            <w:tcW w:w="1319" w:type="dxa"/>
            <w:tcBorders>
              <w:top w:val="single" w:color="auto" w:sz="4" w:space="0"/>
              <w:left w:val="single" w:color="auto" w:sz="4" w:space="0"/>
              <w:bottom w:val="single" w:color="auto" w:sz="4" w:space="0"/>
              <w:right w:val="single" w:color="auto" w:sz="4" w:space="0"/>
            </w:tcBorders>
            <w:noWrap/>
            <w:vAlign w:val="center"/>
          </w:tcPr>
          <w:p>
            <w:pPr>
              <w:widowControl/>
              <w:jc w:val="center"/>
              <w:rPr>
                <w:b/>
                <w:bCs/>
                <w:color w:val="000000"/>
                <w:kern w:val="0"/>
                <w:sz w:val="18"/>
                <w:szCs w:val="18"/>
              </w:rPr>
            </w:pPr>
            <w:r>
              <w:rPr>
                <w:b/>
                <w:bCs/>
                <w:color w:val="000000"/>
                <w:kern w:val="0"/>
                <w:sz w:val="18"/>
                <w:szCs w:val="18"/>
              </w:rPr>
              <w:t>仪器设备编号</w:t>
            </w:r>
          </w:p>
        </w:tc>
        <w:tc>
          <w:tcPr>
            <w:tcW w:w="1560" w:type="dxa"/>
            <w:tcBorders>
              <w:top w:val="single" w:color="auto" w:sz="4" w:space="0"/>
              <w:left w:val="nil"/>
              <w:bottom w:val="single" w:color="auto" w:sz="4" w:space="0"/>
              <w:right w:val="single" w:color="auto" w:sz="4" w:space="0"/>
            </w:tcBorders>
            <w:noWrap/>
            <w:vAlign w:val="center"/>
          </w:tcPr>
          <w:p>
            <w:pPr>
              <w:widowControl/>
              <w:jc w:val="center"/>
              <w:rPr>
                <w:b/>
                <w:bCs/>
                <w:color w:val="000000"/>
                <w:kern w:val="0"/>
                <w:sz w:val="18"/>
                <w:szCs w:val="18"/>
              </w:rPr>
            </w:pPr>
            <w:r>
              <w:rPr>
                <w:b/>
                <w:bCs/>
                <w:color w:val="000000"/>
                <w:kern w:val="0"/>
                <w:sz w:val="18"/>
                <w:szCs w:val="18"/>
              </w:rPr>
              <w:t>仪器设备名称</w:t>
            </w:r>
          </w:p>
        </w:tc>
        <w:tc>
          <w:tcPr>
            <w:tcW w:w="1514" w:type="dxa"/>
            <w:tcBorders>
              <w:top w:val="single" w:color="auto" w:sz="4" w:space="0"/>
              <w:left w:val="nil"/>
              <w:bottom w:val="single" w:color="auto" w:sz="4" w:space="0"/>
              <w:right w:val="single" w:color="auto" w:sz="4" w:space="0"/>
            </w:tcBorders>
            <w:noWrap/>
            <w:vAlign w:val="center"/>
          </w:tcPr>
          <w:p>
            <w:pPr>
              <w:widowControl/>
              <w:jc w:val="center"/>
              <w:rPr>
                <w:b/>
                <w:bCs/>
                <w:color w:val="000000"/>
                <w:kern w:val="0"/>
                <w:sz w:val="18"/>
                <w:szCs w:val="18"/>
              </w:rPr>
            </w:pPr>
            <w:r>
              <w:rPr>
                <w:b/>
                <w:bCs/>
                <w:color w:val="000000"/>
                <w:kern w:val="0"/>
                <w:sz w:val="18"/>
                <w:szCs w:val="18"/>
              </w:rPr>
              <w:t>型号规格</w:t>
            </w:r>
          </w:p>
        </w:tc>
        <w:tc>
          <w:tcPr>
            <w:tcW w:w="994" w:type="dxa"/>
            <w:tcBorders>
              <w:top w:val="single" w:color="auto" w:sz="4" w:space="0"/>
              <w:left w:val="nil"/>
              <w:bottom w:val="single" w:color="auto" w:sz="4" w:space="0"/>
              <w:right w:val="single" w:color="auto" w:sz="4" w:space="0"/>
            </w:tcBorders>
            <w:noWrap/>
            <w:vAlign w:val="center"/>
          </w:tcPr>
          <w:p>
            <w:pPr>
              <w:widowControl/>
              <w:jc w:val="center"/>
              <w:rPr>
                <w:b/>
                <w:bCs/>
                <w:color w:val="000000"/>
                <w:kern w:val="0"/>
                <w:sz w:val="18"/>
                <w:szCs w:val="18"/>
              </w:rPr>
            </w:pPr>
            <w:r>
              <w:rPr>
                <w:b/>
                <w:bCs/>
                <w:color w:val="000000"/>
                <w:kern w:val="0"/>
                <w:sz w:val="18"/>
                <w:szCs w:val="18"/>
              </w:rPr>
              <w:t>存放地点</w:t>
            </w:r>
          </w:p>
        </w:tc>
        <w:tc>
          <w:tcPr>
            <w:tcW w:w="3400"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18"/>
                <w:szCs w:val="18"/>
              </w:rPr>
            </w:pPr>
            <w:r>
              <w:rPr>
                <w:rFonts w:hint="eastAsia"/>
                <w:b/>
                <w:bCs/>
                <w:color w:val="000000"/>
                <w:kern w:val="0"/>
                <w:sz w:val="18"/>
                <w:szCs w:val="18"/>
              </w:rPr>
              <w:t>计划</w:t>
            </w:r>
            <w:r>
              <w:rPr>
                <w:b/>
                <w:bCs/>
                <w:color w:val="000000"/>
                <w:kern w:val="0"/>
                <w:sz w:val="18"/>
                <w:szCs w:val="18"/>
              </w:rPr>
              <w:t>标定参数</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烘箱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STHX-3A</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温度示值误差、温度均匀性、控温波动度、定时精度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rFonts w:hint="eastAsia"/>
                <w:kern w:val="0"/>
                <w:sz w:val="18"/>
                <w:szCs w:val="18"/>
              </w:rPr>
            </w:pPr>
            <w:r>
              <w:rPr>
                <w:rFonts w:hint="eastAsia"/>
                <w:kern w:val="0"/>
                <w:sz w:val="18"/>
                <w:szCs w:val="18"/>
              </w:rPr>
              <w:t>2</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JY1002</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rFonts w:hint="eastAsia"/>
                <w:kern w:val="0"/>
                <w:sz w:val="18"/>
                <w:szCs w:val="18"/>
              </w:rPr>
            </w:pPr>
            <w:r>
              <w:rPr>
                <w:rFonts w:hint="eastAsia"/>
                <w:kern w:val="0"/>
                <w:sz w:val="18"/>
                <w:szCs w:val="18"/>
              </w:rPr>
              <w:t>3</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JS15-01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rFonts w:hint="eastAsia"/>
                <w:kern w:val="0"/>
                <w:sz w:val="18"/>
                <w:szCs w:val="18"/>
              </w:rPr>
            </w:pPr>
            <w:r>
              <w:rPr>
                <w:rFonts w:hint="eastAsia"/>
                <w:kern w:val="0"/>
                <w:sz w:val="18"/>
                <w:szCs w:val="18"/>
              </w:rPr>
              <w:t>4</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JS30-01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rFonts w:hint="eastAsia"/>
                <w:kern w:val="0"/>
                <w:sz w:val="18"/>
                <w:szCs w:val="18"/>
              </w:rPr>
            </w:pPr>
            <w:r>
              <w:rPr>
                <w:rFonts w:hint="eastAsia"/>
                <w:kern w:val="0"/>
                <w:sz w:val="18"/>
                <w:szCs w:val="18"/>
              </w:rPr>
              <w:t>5</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灌水法容重测定仪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GSY-1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容器容积精度、量测刻度准确性、密封性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rFonts w:hint="eastAsia"/>
                <w:kern w:val="0"/>
                <w:sz w:val="18"/>
                <w:szCs w:val="18"/>
              </w:rPr>
            </w:pPr>
            <w:r>
              <w:rPr>
                <w:rFonts w:hint="eastAsia"/>
                <w:kern w:val="0"/>
                <w:sz w:val="18"/>
                <w:szCs w:val="18"/>
              </w:rPr>
              <w:t>6</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土壤筛</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0.075~60mm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筛孔尺寸偏差、筛网平整度、筛框垂直度、筛分效率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rFonts w:hint="eastAsia"/>
                <w:kern w:val="0"/>
                <w:sz w:val="18"/>
                <w:szCs w:val="18"/>
              </w:rPr>
            </w:pPr>
            <w:r>
              <w:rPr>
                <w:rFonts w:hint="eastAsia"/>
                <w:kern w:val="0"/>
                <w:sz w:val="18"/>
                <w:szCs w:val="18"/>
              </w:rPr>
              <w:t>7</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土壤密度计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TM-85</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刻度示值误差、垂直度、密度范围准确性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rFonts w:hint="eastAsia"/>
                <w:kern w:val="0"/>
                <w:sz w:val="18"/>
                <w:szCs w:val="18"/>
              </w:rPr>
            </w:pPr>
            <w:r>
              <w:rPr>
                <w:rFonts w:hint="eastAsia"/>
                <w:kern w:val="0"/>
                <w:sz w:val="18"/>
                <w:szCs w:val="18"/>
              </w:rPr>
              <w:t>8</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JJJC-1-011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液塑限联合测定仪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LP-100D</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圆锥入土深度示值误差、圆锥质量、下沉时间控制、温度控制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rFonts w:hint="eastAsia"/>
                <w:kern w:val="0"/>
                <w:sz w:val="18"/>
                <w:szCs w:val="18"/>
              </w:rPr>
            </w:pPr>
            <w:r>
              <w:rPr>
                <w:rFonts w:hint="eastAsia"/>
                <w:kern w:val="0"/>
                <w:sz w:val="18"/>
                <w:szCs w:val="18"/>
              </w:rPr>
              <w:t>9</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JJJC-1-012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电动击实仪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BKJ-III</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击实锤质量、落距精度、击实频率、击实次数控制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10</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JJJC-1-015</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测力环</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7.5kN</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力值示值误差、重复性、滞后误差、灵敏度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11</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JJJC-1-018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比重瓶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250mL</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容积精度、颈部刻度示值误差、密封性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12</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JJJC-1-019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砂浴</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DK-2</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高温室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温度示值误差、加热均匀性、温控精度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13</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表面振动压实仪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STYY-1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振动频率、振幅、激振力、压实时间控制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14</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回弹模量测定仪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HM-Ⅰ</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量力环示值误差、变形测量精度、加载控制精度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15</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千分表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0-1mm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示值误差、重复性、回程误差、分辨力</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16</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高温炉（箱式电阻炉）</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S×5-12</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高温室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温度示值误差、炉膛温度均匀性、升温速率、温控精度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17</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油浴锅</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HH-S</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高温室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温度示值误差、温度均匀性、控温精度、液位控制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18</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水浴锅</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DZKW-D-2</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温度示值误差、温度均匀性、控温精度、加热稳定性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19</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土壤相对密度仪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XD-1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容器容积精度、刻度示值误差、振动频率、击实效果</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20</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JJJC-1-029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百分表（配7.5kN测力环）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百分表示值误差、测力环力值误差、装配同轴度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21</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长度示值误差、刻度清晰度、直线度、厚度均匀性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22</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测力环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60kN</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力值示值误差、重复性、滞后误差、灵敏度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23</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测力环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30kN</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力值示值误差、重复性、滞后误差、灵敏度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24</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测力环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100kN</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力值示值误差、重复性、滞后误差、灵敏度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25</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测力环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150kN</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力值示值误差、重复性、滞后误差、灵敏度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26</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百分表（配30kN测力环）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百分表示值误差、测力环力值误差、装配精度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27</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28</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29</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30</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JJJC-1-039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31</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JJJC-1-040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32</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JJJC-1-041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33</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JJJC-1-042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34</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JJJC-1-043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35</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JJJC-1-044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36</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标准筛（方孔）</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0.075~63mm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筛孔尺寸偏差、筛网质量、筛框尺寸精度、筛分效率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37</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TS15kg/0.1g</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38</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TS30kg/0.1g</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39</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摇筛机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STSJ-3A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振动频率、振幅、筛分时间控制、各层筛固定稳定性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40</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钢板尺（钢直尺）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0~1000mm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长度示值误差、刻度精度、直线度、边缘平整度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41</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JY2002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42</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JS6-01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43</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JJJC-2-014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烘箱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101A-3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温度示值误差、温度均匀性、控温波动度、定时精度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44</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JJJC-2-015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针片状规准仪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17.1~82.8mm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标准孔尺寸偏差、规准杆直径精度、外形尺寸公差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45</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JJJC-2-016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数显卡尺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示值误差、重复性、分辨率、测量力、各测量面平行度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46</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JJJC-2-018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压碎值试验仪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承压面平行度、尺寸精度、加载同心度、试样筒尺寸公差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47</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JJJC-2-019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洛杉矶磨耗试验机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MH-II</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转数控制精度、钢球质量偏差、磨耗筒尺寸精度、转速稳定性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48</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加速磨光试验机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JM-III</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转速控制精度、加载压力示值误差、磨料供给均匀性、温度控制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49</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烧杯</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500mL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容积示值误差、刻度清晰度、耐热性、壁厚均匀性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50</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砂当量试验仪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YL-2B</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量筒刻度示值误差、搅拌转速、计时精度、垂直度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51</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恒温水槽（浴）</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STSY-2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温度示值误差、槽内温度均匀性、控温精度、升温速率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52</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李氏密度瓶（李氏比重瓶）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250mL/0.05mL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容积精度、颈部刻度示值误差、密封性、温度影响修正</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53</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测长仪/比长仪/砼收缩膨胀仪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HSP-540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长度示值误差、温度示值误差、测量力、重复性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54</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JJJC-2-029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0~10mm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示值误差、重复性、回程误差、测量范围准确性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55</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波美比重计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1.0~1.1g/cm</w:t>
            </w:r>
            <w:r>
              <w:rPr>
                <w:kern w:val="0"/>
                <w:sz w:val="18"/>
                <w:szCs w:val="18"/>
                <w:vertAlign w:val="superscript"/>
              </w:rPr>
              <w:t>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刻度示值误差、垂直度、温度修正系数、密度范围</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56</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贮存箱（碱骨料试验箱）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JKS</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温度示值误差、湿度控制精度、控温波动度、密封性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57</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软弱颗粒试验机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RKL-1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力值示值误差、加载速率控制、试样夹具尺寸精度、变形测量</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58</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叶轮搅拌机(亚甲蓝搅拌机)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DJ-YJ</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搅拌转速、搅拌时间控制、叶轮尺寸精度、搅拌均匀性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59</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秒表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JM-504</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集料室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计时误差、分辨率、启动停止响应时间、累积计时精度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60</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负压筛析仪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FYS-200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负压值示值误差、筛网尺寸偏差、筛分时间控制、密封性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61</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JJJC-2-039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蝶式液塑限测定仪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DSY-91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土工室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圆锥质量、入土深度示值误差、下沉时间控制、温度控制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62</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JJJC-3-003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游标卡尺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岩石室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示值误差、重复性、分辨率、测量力、各测量面平行度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63</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JJJC-3-004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JY1002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岩石室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64</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JJJC-3-006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密度瓶（比重瓶）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100mL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岩石室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容积精度、颈部刻度示值误差、密封性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65</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JJJC-4-001</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水泥细度负筛析仪</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FYS-150B</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水泥室3</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负压值示值误差、筛网尺寸偏差、筛分时间控制、密封性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66</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JJJC-4-002</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细度负压筛</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0.045mm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水泥室3</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筛孔尺寸偏差、筛网平整度、筛分效率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67</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JJJC-4-003</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细度负压筛</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0.080mm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水泥室3</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筛孔尺寸偏差、筛网平整度、筛分效率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68</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JJJC-4-004</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比表面积测定仪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FBT-9A</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水泥室3</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比表面积测量误差、温度示值误差、计时精度、密封性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69</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JJJC-4-005</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秒表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JM-504</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水泥室4</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计时误差、分辨率、启动停止响应时间、累积计时精度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70</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JJJC-4-006</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维卡仪（水泥标准稠度仪）</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0-70mm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试针长度、试针直径、标尺示值误差、落距精度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71</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JJJC-4-007</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水泥净浆搅拌机</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NJ-160B</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搅拌转速、搅拌时间控制、叶片尺寸精度、搅拌均匀性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72</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JJJC-4-008</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烘箱</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101A-3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水泥室2</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温度示值误差、温度均匀性、控温波动度、定时精度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73</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JJJC-4-009</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雷氏夹及膨胀测定仪</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LD-50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弹性恢复量示值误差、标尺精度、雷氏夹尺寸偏差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74</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JJJC-4-010</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沸煮箱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FZ-31A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水泥室2</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升温时间控制、恒温温度示值误差、水位控制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75</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JJJC-4-011</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恒温恒湿养护箱</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SHBY-40A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温度示值误差、湿度控制精度、控温精度、密封性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76</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JJJC-4-012</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水泥胶砂搅拌机</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JJ-20S</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搅拌转速、搅拌时间、叶片间隙、搅拌均匀性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77</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JJJC-4-013</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水泥胶砂振实台</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JJ-20LX</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振动频率、振幅、振动时间、台面平整度、偏心距</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78</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JJJC-4-014</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水泥胶砂流动度测定仪（电动跳桌）</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NLD-3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跳动频率、落距精度、流动度测量精度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79</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JJJC-4-015</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磁力加热搅拌器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85-2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搅拌转速、加热温度示值误差、密封性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80</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JJJC-4-016</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氯离子分析仪（测氯蒸馏装置）</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CCL-5A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蒸馏精度、温度示值误差、计时精度、密封性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80</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JJJC-4-017</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微机控制恒加荷速率压力试验机</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YAW-300D</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力值示值误差、加载速率控制、压板平行度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82</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JJJC-4-018</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李氏比重瓶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250mL/0.05mL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容积精度、颈部刻度示值误差、密封性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rFonts w:hint="eastAsia"/>
                <w:color w:val="000000"/>
                <w:kern w:val="0"/>
                <w:sz w:val="18"/>
                <w:szCs w:val="18"/>
              </w:rPr>
              <w:t>83</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JJJC-4-019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YP-50002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水泥室1</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84</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JJJC-5-001</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坍落度仪（筒）</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100*200*300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容积精度、垂直度、坍落扩展度测量精度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85</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JJJC-5-002</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砼数显维勃稠度仪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HCY-A</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稠度示值误差、搅拌转速、计时精度、垂直度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86</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JJJC-5-003</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混凝土振动台试验仪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ZHJ100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振动频率、振幅、振动时间、台面平整度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87</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JJJC-5-004</w:t>
            </w:r>
          </w:p>
        </w:tc>
        <w:tc>
          <w:tcPr>
            <w:tcW w:w="1560"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秒表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JM-504</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计时误差、分辨率、启动停止响应时间、累积计时精度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88</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JJJC-5-006</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砼含气量测定仪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CA-3</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压力示值误差、密封性、容积精度、温度修正</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89</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JJJC-5-007</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砼贯入阻力仪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SGO-1200N</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力值示值误差、贯入深度示值误差、加载速率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90</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JJJC-5-008</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微变形测量仪（混凝土弹性模量测定仪）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TM-Ⅱ</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现场室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变形测量精度、测力精度、稳定性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90</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JJJC-5-010</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水泥混凝土渗透仪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HP-4.0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压力示值误差、密封性、容积精度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92</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JJJC-5-011</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电子台称</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TCS-100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称量精度、重复性、线性误差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93</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JJJC-5-012</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标准养护室（恒温恒湿自动控制仪）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BYSF-60 3P</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养护室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温度示值误差、湿度控制精度、控温精度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94</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JJJC-5-013</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混凝土卧式搅拌机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STWJ-60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搅拌转速、搅拌时间控制、搅拌均匀性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95</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JJJC-5-014</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砂浆稠度仪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SC-145</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稠度示值误差、重复性、测量精度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96</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JJJC-5-020</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立式砂浆搅拌机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UJZ-15</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搅拌转速、搅拌时间控制、搅拌均匀性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97</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JJJC-5-022</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数显砂浆凝结时间测定仪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ZKS-100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凝结时间示值误差、测力精度、计时精度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98</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JJJC-5-023</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砂浆分层度仪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分层度测量精度、密封性、容积精度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99</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JJJC-5-024</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自密实混凝土坍落扩展度测定仪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1m*1m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扩展度测量精度、平整度、尺寸精度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100</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JJJC-5-028</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砂浆收缩膨胀仪（测长仪/比长仪）</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DCBY-175</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长度示值误差、测量力、重复性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101</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JJJC-5-029</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钢直尺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50cm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长度示值误差、刻度清晰度、直线度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102</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JJJC-5-030</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JY5001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水泥混凝土室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103</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酸度计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PHS-3C</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示值误差、温度补偿精度、稳定性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104</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酸式滴定管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105</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移液管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106</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量筒</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5、10、50、100、200、500、1000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107</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分析天平</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JT2003B/1mg</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天平室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108</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分析天平</w:t>
            </w:r>
          </w:p>
        </w:tc>
        <w:tc>
          <w:tcPr>
            <w:tcW w:w="151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FA2004B</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天平室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109</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秒表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JM-504</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计时误差、分辨率、启动停止响应时间、累积计时精度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110</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JJJC-6-010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容量瓶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500毫升</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111</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JJJC-6-011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容量瓶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500毫升</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112</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JJJC-6-012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容量瓶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1000毫升</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113</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JJJC-6-013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容量瓶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1000毫升</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容积示值误差、刻度精度、密封性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114</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JJJC-8-001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李氏比重瓶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250mL/0.05mL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容积精度、颈部刻度示值误差、密封性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115</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JJJC-8-003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游离氧化钙测定仪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Ca-5</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温度示值误差、滴定精度、计时精度、密封性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116</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JJJC-9-001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HZ5001A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117</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JJJC-9-005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5mm圆孔筛</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φ5mm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化学室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筛孔尺寸偏差、筛分效率、尺寸精度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118</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沥青密度（比重）瓶</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25mL</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容积精度、密封性、温度稳定性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119</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恒温水槽</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HWY-30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温度示值误差、槽内温度均匀性、控温精度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120</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沥青针入度测定仪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SYD-2801F</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针入度示值误差、温度示值误差、计时精度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121</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沥青延度试验器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SYD-4508C</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拉伸速度示值误差、温度示值误差、长度示值误差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122</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沥青软化点试验器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SYD-2806G</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温度示值误差、升温速率、钢球质量、定位精度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123</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旋转式沥青薄膜烘箱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STBX-82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温度示值误差、转速控制精度、空气流量控制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124</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沥青动力粘度试验仪（真空减压毛细管黏度计）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SYD-0620B</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动力粘度示值误差、温度示值误差、真空度控制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125</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克利夫兰开口闪点仪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SYD-3636</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温度示值误差、加热速率、点火控制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126</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JJJC-10-010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烘箱（电热鼓风恒温干燥箱）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101A-2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温度示值误差、温度均匀性、控温波动度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127</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JJJC-10-011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冰箱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DW-180-40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温度示值误差、制冷精度、密封性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128</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JJJC-10-012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沥青标准粘度试验仪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SYD-0621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标准粘度示值误差、温度示值误差、流量控制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129</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JJJC-10-013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滤筛（1.18mm）</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1.18mm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筛孔尺寸偏差、筛分效率、尺寸精度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130</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JJJC-10-017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温度计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0~100℃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温度示值误差、测量精度、稳定性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131</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沥青混合料拌和机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SLHB-Ⅲ</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温度示值误差、搅拌转速、加热均匀性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132</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烘箱（恒温干燥箱）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101A-3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温度示值误差、温度均匀性、控温波动度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133</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浸水天平（静水天平）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JY5001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称量精度、重复性、线性误差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134</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控温溢流水槽</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STYLS-2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温度示值误差、控温精度、密封性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135</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低温恒温溢流水箱(带网篮）</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TDYL-III</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温度示值误差、控温精度、溢流水稳定性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136</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马歇尔电动击实仪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SMZ-Ⅱ</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击实锤质量、落距精度、击实频率、击实次数控制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137</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马歇尔稳定度测定仪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LHWD-3A</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稳定度示值误差、流值示值误差、加载速率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138</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恒温水槽</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STSY-3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温度示值误差、槽内温度均匀性、控温精度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139</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燃烧炉（燃烧法沥青含量分析仪）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QYRS-6</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岩石室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温度示值误差、加热均匀性、称量精度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140</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JJJC-11-010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沥青混合料最大理论密度仪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LM-Ⅳ</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密度测量精度、密封性、温度稳定性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141</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JJJC-11-011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车辙试样成型机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KRCX-5</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温度示值误差、加载压力示值误差、轮压控制</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142</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JJJC-11-012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自动车辙试验仪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KRCZ-5</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温度示值误差、制冷精度、密封性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143</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JJJC-11-013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恒温冰箱（低温试验箱）</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BD/BC-238A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温度示值误差、制冷精度、密封性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144</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JJJC-11-014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TS15kg/0.1g</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沥青砼室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145</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0~1000mm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长度示值误差、刻度清晰度、直线度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146</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JJJC-12-002</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压力试验机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STYE-2000</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力值示值误差、加载速率控制、压板平行度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147</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JJJC-12-003</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数显万能材料试验机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WA-1000B</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力值示值误差、变形示值误差、加载速率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148</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JJJC-12-004</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数显万能材料试验机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WA-300B</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力值示值误差、变形示值误差、加载速率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149</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JJJC-12-005</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引伸仪（电子引伸计）</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ZES</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变形测量精度、测力精度、稳定性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150</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JJJC-12-006</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游标卡尺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示值误差、重复性、分辨率、测量力、各测量面平行度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151</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JJJC-12-007</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标距打点机（连续标点机）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XLB-1</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标距长度示值误差、打点精度、稳定性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152</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JJJC-12-010</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钢筋弯曲试验机</w:t>
            </w:r>
          </w:p>
        </w:tc>
        <w:tc>
          <w:tcPr>
            <w:tcW w:w="151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GW-40S</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弯曲角度控制、弯曲半径精度、加载速度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kern w:val="0"/>
                <w:sz w:val="18"/>
                <w:szCs w:val="18"/>
              </w:rPr>
              <w:t>153</w:t>
            </w:r>
          </w:p>
        </w:tc>
        <w:tc>
          <w:tcPr>
            <w:tcW w:w="1319" w:type="dxa"/>
            <w:tcBorders>
              <w:top w:val="nil"/>
              <w:left w:val="single" w:color="auto" w:sz="4" w:space="0"/>
              <w:bottom w:val="single" w:color="auto" w:sz="4" w:space="0"/>
              <w:right w:val="single" w:color="auto" w:sz="4" w:space="0"/>
            </w:tcBorders>
            <w:noWrap/>
            <w:vAlign w:val="center"/>
          </w:tcPr>
          <w:p>
            <w:pPr>
              <w:widowControl/>
              <w:jc w:val="center"/>
              <w:rPr>
                <w:kern w:val="0"/>
                <w:sz w:val="18"/>
                <w:szCs w:val="18"/>
              </w:rPr>
            </w:pPr>
            <w:r>
              <w:rPr>
                <w:kern w:val="0"/>
                <w:sz w:val="18"/>
                <w:szCs w:val="18"/>
              </w:rPr>
              <w:t>JJJC-12-012</w:t>
            </w:r>
          </w:p>
        </w:tc>
        <w:tc>
          <w:tcPr>
            <w:tcW w:w="1560"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电子天平</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JS6-01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力学室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示值误差、偏载误差、重复性、线性误差、四角误差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154</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钢卷尺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7.5m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长度示值误差、刻度清晰度、伸缩灵活性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155</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JJJC-13-002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长度示值误差、刻度清晰度、直线度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156</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游标卡尺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示值误差、重复性、分辨率、测量力、各测量面平行度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157</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水准仪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NL32A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水准器角值误差、视准轴平行度、读数精度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158</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全站仪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ES-600G</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角度测量误差、距离测量误差、补偿器精度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159</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三米直尺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JZC-G2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长度示值误差、平整度、垂直度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160</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数显深度尺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161</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贝克曼梁</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5.4m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弯沉仪臂长精度、百分表示值误差、支座稳定性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162</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路表温度计（红外线测温仪）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UT300A+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温度示值误差、测量精度、稳定性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163</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摆式摩擦系数测定仪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BM-Ⅲ</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摆值示值误差、滑块质量偏差、摆臂长度精度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164</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人工铺砂仪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砂体积精度、刮尺平整度、测量重复性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165</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路面渗水仪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HDSS-Ⅱ</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量筒刻度示值误差、渗水时间控制、密封性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166</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JJJC-13-016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秒表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JM-504</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计时误差、分辨率、启动停止响应时间、累积计时精度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167</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JJJC-13-020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电动铺砂仪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ALD-138</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铺砂精度、尺寸精度、重复性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168</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JJJC-13-022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路面横断面尺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LHHD-Ⅰ</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横断面尺寸精度、刻度示值误差、平整度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169</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JJJC-13-025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路面层间粘结力拉拔试验仪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MR-LM3</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拉拔力示值误差、加载速率控制、位移精度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170</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JJJC-13-026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拉伸仪（电子引伸计）</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YYU-10/100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变形测量精度、测力精度、稳定性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171</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JJJC-13-028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百分表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　</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示值误差、重复性、回程误差、分辨力</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172</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JJJC-13-029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落球式回弹模量测试仪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DCA-P-02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模量示值误差、加载精度、变形测量精度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173</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混凝土回弹仪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ZC3-E+</w:t>
            </w:r>
          </w:p>
        </w:tc>
        <w:tc>
          <w:tcPr>
            <w:tcW w:w="994" w:type="dxa"/>
            <w:tcBorders>
              <w:top w:val="nil"/>
              <w:left w:val="nil"/>
              <w:bottom w:val="single" w:color="auto" w:sz="4" w:space="0"/>
              <w:right w:val="single" w:color="auto" w:sz="4" w:space="0"/>
            </w:tcBorders>
            <w:noWrap/>
            <w:vAlign w:val="center"/>
          </w:tcPr>
          <w:p>
            <w:pPr>
              <w:widowControl/>
              <w:jc w:val="center"/>
              <w:rPr>
                <w:kern w:val="0"/>
                <w:sz w:val="18"/>
                <w:szCs w:val="18"/>
              </w:rPr>
            </w:pPr>
            <w:r>
              <w:rPr>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率定值误差、指针摩擦力、冲击能量</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174</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碳化深度测量装置</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0-8mm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深度示值误差、重复性、测量精度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175</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钢筋探测仪（一体式钢筋检测仪）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ZBL-R660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钢筋位置测量精度、直径测量误差、保护层厚度误差</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176</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长度示值误差、刻度清晰度、直线度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177</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钢卷尺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0~5m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长度示值误差、刻度清晰度、伸缩灵活性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178</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游标卡尺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示值误差、重复性、分辨率、测量力、各测量面平行度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179</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JJJC-14-009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裂缝综合测试仪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ZBL-F800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裂缝宽度示值误差、深度测量误差、长度测量精度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180</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承载板测试仪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60KN，300mm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承载精度、力值示值误差、变形测量精度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181</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压力表（荷载加载装置）</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（0~60）MPa/2MPa</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压力示值误差、重复性、回程误差、量程准确性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182</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动力触探仪（轻型触探仪）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FD-635N</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探头面积精度、锤击能量、计数精度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183</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静力触探仪（含测力传感器）</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CDL-3T</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测力传感器示值误差、深度测量精度、贯入速率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184</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无线超声波检测仪（多通道超声测桩仪+超声测桩提升装置）</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U5600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声时测量误差、声幅测量精度、定位精度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185</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基桩动测仪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ZBL-P8000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振动频率测量精度、加速度测量误差、分析精度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186</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JJJC-15-008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精密水准仪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DSZ1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水准器角值误差、视准轴平行度、读数精度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187</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直尺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1000mm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长度示值误差、刻度清晰度、直线度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188</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卷尺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50m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长度示值误差、刻度清晰度、伸缩灵活性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189</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卡尺（游标卡尺）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0~300mm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示值误差、重复性、分辨率、测量力、各测量面平行度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190</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JJJC-16-004</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万能角尺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320°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角度示值误差、重复性、测量精度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191</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JJJC-16-005</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塞尺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厚度示值误差、平行度、柔韧性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192</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JJJC-16-006</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锤线（吊锤）</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JZC-4500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垂直度、质量均匀性、线的直线度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193</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JJJC-16-007</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千分尺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25mm</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示值误差、重复性、平行度、测量力</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194</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JJJC-16-008</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超声波测厚仪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TT380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厚度示值误差、分辨率、声速校准</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195</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JJJC-16-009</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涂层测厚仪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TT2610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厚度示值误差、重复性、分辨率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196</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JJJC-16-010</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标线涂层厚度测试仪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STT-950</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厚度示值误差、测量压力、分辨率</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197</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JJJC-16-011</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竖直度尺</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JZC-D</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垂直度误差、长度示值误差、刻度精度</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198</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JJJC-16-012</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逆反射标志测量仪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STT-101</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逆反射系数示值误差、角度控制、光源稳定性</w:t>
            </w:r>
          </w:p>
        </w:tc>
      </w:tr>
      <w:tr>
        <w:tblPrEx>
          <w:tblCellMar>
            <w:top w:w="0" w:type="dxa"/>
            <w:left w:w="108" w:type="dxa"/>
            <w:bottom w:w="0" w:type="dxa"/>
            <w:right w:w="108" w:type="dxa"/>
          </w:tblCellMar>
        </w:tblPrEx>
        <w:trPr>
          <w:trHeight w:val="499" w:hRule="atLeast"/>
          <w:jc w:val="center"/>
        </w:trPr>
        <w:tc>
          <w:tcPr>
            <w:tcW w:w="785"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199</w:t>
            </w:r>
          </w:p>
        </w:tc>
        <w:tc>
          <w:tcPr>
            <w:tcW w:w="1319"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JJJC-16-013</w:t>
            </w:r>
          </w:p>
        </w:tc>
        <w:tc>
          <w:tcPr>
            <w:tcW w:w="1560"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标线逆反射测量仪</w:t>
            </w:r>
          </w:p>
        </w:tc>
        <w:tc>
          <w:tcPr>
            <w:tcW w:w="1514"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RP-R12</w:t>
            </w:r>
          </w:p>
        </w:tc>
        <w:tc>
          <w:tcPr>
            <w:tcW w:w="994" w:type="dxa"/>
            <w:tcBorders>
              <w:top w:val="nil"/>
              <w:left w:val="nil"/>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逆反射系数示值误差、角度控制、光源稳定性</w:t>
            </w:r>
          </w:p>
        </w:tc>
      </w:tr>
      <w:tr>
        <w:tblPrEx>
          <w:tblCellMar>
            <w:top w:w="0" w:type="dxa"/>
            <w:left w:w="108" w:type="dxa"/>
            <w:bottom w:w="0" w:type="dxa"/>
            <w:right w:w="108" w:type="dxa"/>
          </w:tblCellMar>
        </w:tblPrEx>
        <w:trPr>
          <w:trHeight w:val="4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200</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JJJC-16-014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护栏立柱质量检测仪</w:t>
            </w:r>
          </w:p>
        </w:tc>
        <w:tc>
          <w:tcPr>
            <w:tcW w:w="151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DCA-E-22</w:t>
            </w:r>
          </w:p>
        </w:tc>
        <w:tc>
          <w:tcPr>
            <w:tcW w:w="994"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kern w:val="0"/>
                <w:sz w:val="18"/>
                <w:szCs w:val="18"/>
              </w:rPr>
            </w:pPr>
            <w:r>
              <w:rPr>
                <w:color w:val="000000"/>
                <w:kern w:val="0"/>
                <w:sz w:val="18"/>
                <w:szCs w:val="18"/>
              </w:rPr>
              <w:t>外检室</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立柱垂直度测量误差、壁厚测量精度、长度测量误差</w:t>
            </w:r>
          </w:p>
        </w:tc>
      </w:tr>
      <w:tr>
        <w:tblPrEx>
          <w:tblCellMar>
            <w:top w:w="0" w:type="dxa"/>
            <w:left w:w="108" w:type="dxa"/>
            <w:bottom w:w="0" w:type="dxa"/>
            <w:right w:w="108" w:type="dxa"/>
          </w:tblCellMar>
        </w:tblPrEx>
        <w:trPr>
          <w:trHeight w:val="499" w:hRule="atLeast"/>
          <w:jc w:val="center"/>
        </w:trPr>
        <w:tc>
          <w:tcPr>
            <w:tcW w:w="9572" w:type="dxa"/>
            <w:gridSpan w:val="6"/>
            <w:tcBorders>
              <w:top w:val="single" w:color="auto" w:sz="4" w:space="0"/>
              <w:left w:val="single" w:color="auto" w:sz="4" w:space="0"/>
              <w:bottom w:val="single" w:color="auto" w:sz="4" w:space="0"/>
              <w:right w:val="single" w:color="auto" w:sz="4" w:space="0"/>
            </w:tcBorders>
            <w:vAlign w:val="center"/>
          </w:tcPr>
          <w:p>
            <w:pPr>
              <w:widowControl/>
              <w:rPr>
                <w:color w:val="000000"/>
                <w:kern w:val="0"/>
                <w:sz w:val="18"/>
                <w:szCs w:val="18"/>
              </w:rPr>
            </w:pPr>
            <w:r>
              <w:rPr>
                <w:rFonts w:hint="eastAsia"/>
                <w:color w:val="000000"/>
                <w:kern w:val="0"/>
                <w:sz w:val="18"/>
                <w:szCs w:val="18"/>
              </w:rPr>
              <w:t>标定服务费合计（大写）：                                                     （</w:t>
            </w:r>
            <w:r>
              <w:rPr>
                <w:rFonts w:ascii="Arial" w:hAnsi="Arial" w:cs="Arial"/>
                <w:color w:val="000000"/>
                <w:kern w:val="0"/>
                <w:sz w:val="18"/>
                <w:szCs w:val="18"/>
              </w:rPr>
              <w:t>¥</w:t>
            </w:r>
            <w:r>
              <w:rPr>
                <w:rFonts w:hint="eastAsia"/>
                <w:color w:val="000000"/>
                <w:kern w:val="0"/>
                <w:sz w:val="18"/>
                <w:szCs w:val="18"/>
              </w:rPr>
              <w:t xml:space="preserve">              ）</w:t>
            </w:r>
          </w:p>
        </w:tc>
      </w:tr>
    </w:tbl>
    <w:p>
      <w:pPr>
        <w:spacing w:line="360" w:lineRule="exact"/>
        <w:rPr>
          <w:rFonts w:hint="eastAsia" w:ascii="宋体" w:hAnsi="宋体" w:cs="宋体"/>
          <w:sz w:val="30"/>
          <w:szCs w:val="30"/>
        </w:rPr>
      </w:pPr>
      <w:r>
        <w:rPr>
          <w:rFonts w:hint="eastAsia" w:ascii="宋体" w:hAnsi="宋体" w:cs="宋体"/>
          <w:sz w:val="30"/>
          <w:szCs w:val="30"/>
        </w:rPr>
        <w:t xml:space="preserve">                                      </w:t>
      </w:r>
    </w:p>
    <w:p>
      <w:pPr>
        <w:spacing w:line="360" w:lineRule="exact"/>
        <w:rPr>
          <w:rFonts w:hint="eastAsia" w:ascii="宋体" w:hAnsi="宋体" w:cs="宋体"/>
          <w:sz w:val="28"/>
          <w:szCs w:val="28"/>
        </w:rPr>
      </w:pPr>
      <w:r>
        <w:rPr>
          <w:rFonts w:hint="eastAsia" w:ascii="宋体" w:hAnsi="宋体" w:cs="宋体"/>
          <w:sz w:val="28"/>
          <w:szCs w:val="28"/>
        </w:rPr>
        <w:t>注：1、所有价格均用人民币表示，单位为元，精确到小数点后两位数。</w:t>
      </w:r>
    </w:p>
    <w:p>
      <w:pPr>
        <w:spacing w:line="360" w:lineRule="exact"/>
        <w:ind w:firstLine="420"/>
        <w:rPr>
          <w:rFonts w:hint="eastAsia" w:ascii="宋体" w:hAnsi="宋体" w:cs="宋体"/>
          <w:kern w:val="0"/>
          <w:sz w:val="28"/>
          <w:szCs w:val="28"/>
        </w:rPr>
      </w:pPr>
      <w:r>
        <w:rPr>
          <w:rFonts w:hint="eastAsia" w:ascii="宋体" w:hAnsi="宋体" w:cs="宋体"/>
          <w:kern w:val="0"/>
          <w:sz w:val="28"/>
          <w:szCs w:val="28"/>
        </w:rPr>
        <w:t>2、供应商的报价表必须加盖供应商公章并由法定代表人或者委托代理人签字，</w:t>
      </w:r>
      <w:r>
        <w:rPr>
          <w:rFonts w:hint="eastAsia" w:ascii="宋体" w:hAnsi="宋体" w:cs="宋体"/>
          <w:b/>
          <w:kern w:val="0"/>
          <w:sz w:val="28"/>
          <w:szCs w:val="28"/>
        </w:rPr>
        <w:t>否则其响应文件按无效响应处理。</w:t>
      </w:r>
    </w:p>
    <w:p>
      <w:pPr>
        <w:spacing w:line="360" w:lineRule="exact"/>
        <w:ind w:firstLine="420"/>
        <w:rPr>
          <w:rFonts w:hint="eastAsia" w:ascii="宋体" w:hAnsi="宋体" w:cs="宋体"/>
          <w:kern w:val="0"/>
          <w:sz w:val="28"/>
          <w:szCs w:val="28"/>
        </w:rPr>
      </w:pPr>
      <w:r>
        <w:rPr>
          <w:rFonts w:hint="eastAsia" w:ascii="宋体" w:hAnsi="宋体" w:cs="宋体"/>
          <w:kern w:val="0"/>
          <w:sz w:val="28"/>
          <w:szCs w:val="28"/>
        </w:rPr>
        <w:t>3、报价一经涂改，应在涂改处加盖供应商公章或者由法定代表人或者委托代理人签字或者盖章，</w:t>
      </w:r>
      <w:r>
        <w:rPr>
          <w:rFonts w:hint="eastAsia" w:ascii="宋体" w:hAnsi="宋体" w:cs="宋体"/>
          <w:b/>
          <w:kern w:val="0"/>
          <w:sz w:val="28"/>
          <w:szCs w:val="28"/>
        </w:rPr>
        <w:t>否则其响应文件按无效响应处理。</w:t>
      </w:r>
    </w:p>
    <w:p>
      <w:pPr>
        <w:spacing w:line="360" w:lineRule="exact"/>
        <w:rPr>
          <w:rFonts w:hint="eastAsia" w:ascii="宋体" w:hAnsi="宋体" w:cs="宋体"/>
          <w:kern w:val="0"/>
          <w:sz w:val="28"/>
          <w:szCs w:val="28"/>
        </w:rPr>
      </w:pPr>
    </w:p>
    <w:p>
      <w:pPr>
        <w:spacing w:line="360" w:lineRule="exact"/>
        <w:rPr>
          <w:rFonts w:hint="eastAsia" w:ascii="宋体" w:hAnsi="宋体" w:cs="宋体"/>
          <w:kern w:val="0"/>
          <w:sz w:val="28"/>
          <w:szCs w:val="28"/>
        </w:rPr>
      </w:pPr>
    </w:p>
    <w:p>
      <w:pPr>
        <w:spacing w:line="360" w:lineRule="exact"/>
        <w:rPr>
          <w:rFonts w:hint="eastAsia" w:ascii="宋体" w:hAnsi="宋体" w:cs="宋体"/>
          <w:kern w:val="0"/>
          <w:sz w:val="28"/>
          <w:szCs w:val="28"/>
        </w:rPr>
      </w:pPr>
      <w:r>
        <w:rPr>
          <w:rFonts w:hint="eastAsia" w:ascii="宋体" w:hAnsi="宋体" w:cs="宋体"/>
          <w:sz w:val="28"/>
          <w:szCs w:val="28"/>
        </w:rPr>
        <w:t>供应商名称（盖公章）：</w:t>
      </w:r>
    </w:p>
    <w:p>
      <w:pPr>
        <w:spacing w:line="360" w:lineRule="exact"/>
        <w:rPr>
          <w:rFonts w:hint="eastAsia" w:ascii="宋体" w:hAnsi="宋体" w:cs="宋体"/>
          <w:kern w:val="0"/>
          <w:sz w:val="28"/>
          <w:szCs w:val="28"/>
        </w:rPr>
      </w:pPr>
    </w:p>
    <w:p>
      <w:pPr>
        <w:spacing w:line="360" w:lineRule="exact"/>
        <w:rPr>
          <w:rFonts w:hint="eastAsia" w:ascii="宋体" w:hAnsi="宋体" w:cs="宋体"/>
          <w:kern w:val="0"/>
          <w:sz w:val="28"/>
          <w:szCs w:val="28"/>
          <w:u w:val="single"/>
        </w:rPr>
      </w:pPr>
      <w:r>
        <w:rPr>
          <w:rFonts w:hint="eastAsia" w:ascii="宋体" w:hAnsi="宋体" w:cs="宋体"/>
          <w:kern w:val="0"/>
          <w:sz w:val="28"/>
          <w:szCs w:val="28"/>
        </w:rPr>
        <w:t>法定代表人或委托代理人（签字）：</w:t>
      </w:r>
    </w:p>
    <w:p>
      <w:pPr>
        <w:spacing w:line="360" w:lineRule="exact"/>
        <w:rPr>
          <w:rFonts w:hint="eastAsia" w:ascii="宋体" w:hAnsi="宋体" w:cs="宋体"/>
          <w:kern w:val="0"/>
          <w:sz w:val="28"/>
          <w:szCs w:val="28"/>
        </w:rPr>
      </w:pPr>
    </w:p>
    <w:p>
      <w:pPr>
        <w:spacing w:line="360" w:lineRule="exact"/>
        <w:rPr>
          <w:rFonts w:hint="eastAsia" w:ascii="宋体" w:hAnsi="宋体" w:cs="宋体"/>
          <w:kern w:val="0"/>
          <w:sz w:val="30"/>
          <w:szCs w:val="30"/>
        </w:rPr>
      </w:pPr>
    </w:p>
    <w:p>
      <w:pPr>
        <w:pStyle w:val="13"/>
        <w:rPr>
          <w:rFonts w:hint="eastAsia" w:ascii="宋体" w:hAnsi="宋体"/>
          <w:kern w:val="0"/>
          <w:szCs w:val="21"/>
        </w:rPr>
      </w:pPr>
    </w:p>
    <w:p>
      <w:pPr>
        <w:rPr>
          <w:rFonts w:hint="eastAsia" w:ascii="宋体" w:hAnsi="宋体"/>
          <w:kern w:val="0"/>
          <w:szCs w:val="21"/>
        </w:rPr>
      </w:pPr>
    </w:p>
    <w:p>
      <w:pPr>
        <w:spacing w:line="360" w:lineRule="auto"/>
        <w:ind w:right="-817" w:rightChars="-389"/>
        <w:contextualSpacing/>
        <w:rPr>
          <w:rFonts w:hint="eastAsia" w:ascii="宋体" w:hAnsi="宋体"/>
          <w:b/>
          <w:sz w:val="32"/>
          <w:szCs w:val="32"/>
        </w:rPr>
      </w:pPr>
      <w:r>
        <w:rPr>
          <w:rFonts w:hint="eastAsia" w:ascii="宋体" w:hAnsi="宋体"/>
          <w:b/>
          <w:bCs/>
          <w:sz w:val="32"/>
          <w:szCs w:val="32"/>
        </w:rPr>
        <w:t>二、商务技术</w:t>
      </w:r>
      <w:r>
        <w:rPr>
          <w:rFonts w:hint="eastAsia" w:ascii="宋体" w:hAnsi="宋体"/>
          <w:b/>
          <w:sz w:val="32"/>
          <w:szCs w:val="32"/>
        </w:rPr>
        <w:t xml:space="preserve">文件格式 </w:t>
      </w:r>
    </w:p>
    <w:p>
      <w:pPr>
        <w:snapToGrid w:val="0"/>
        <w:spacing w:before="120" w:beforeLines="50" w:after="50" w:line="360" w:lineRule="auto"/>
        <w:jc w:val="left"/>
        <w:rPr>
          <w:rFonts w:ascii="宋体" w:hAnsi="宋体"/>
          <w:b/>
          <w:sz w:val="32"/>
          <w:szCs w:val="32"/>
        </w:rPr>
      </w:pPr>
      <w:r>
        <w:rPr>
          <w:rFonts w:hint="eastAsia" w:ascii="宋体" w:hAnsi="宋体"/>
          <w:b/>
          <w:sz w:val="32"/>
          <w:szCs w:val="32"/>
        </w:rPr>
        <w:t>1.商务技术文件封面格式</w:t>
      </w:r>
    </w:p>
    <w:p>
      <w:pPr>
        <w:snapToGrid w:val="0"/>
        <w:spacing w:before="120" w:beforeLines="50" w:after="50"/>
        <w:rPr>
          <w:rFonts w:hint="eastAsia" w:ascii="宋体" w:hAnsi="宋体"/>
          <w:bCs/>
          <w:sz w:val="32"/>
          <w:szCs w:val="20"/>
        </w:rPr>
      </w:pPr>
      <w:r>
        <w:rPr>
          <w:rFonts w:hint="eastAsia" w:ascii="宋体" w:hAnsi="宋体"/>
          <w:sz w:val="24"/>
        </w:rPr>
        <w:t xml:space="preserve">                                                    </w:t>
      </w:r>
    </w:p>
    <w:p>
      <w:pPr>
        <w:snapToGrid w:val="0"/>
        <w:spacing w:before="120" w:beforeLines="50" w:after="50"/>
        <w:rPr>
          <w:rFonts w:hint="eastAsia" w:ascii="宋体" w:hAnsi="宋体"/>
          <w:sz w:val="24"/>
          <w:szCs w:val="20"/>
        </w:rPr>
      </w:pPr>
    </w:p>
    <w:p>
      <w:pPr>
        <w:snapToGrid w:val="0"/>
        <w:spacing w:before="120" w:beforeLines="50" w:after="50"/>
        <w:rPr>
          <w:rFonts w:hint="eastAsia" w:ascii="宋体" w:hAnsi="宋体"/>
          <w:sz w:val="24"/>
          <w:szCs w:val="20"/>
        </w:rPr>
      </w:pPr>
    </w:p>
    <w:p>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商务技术文件</w:t>
      </w: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pPr>
        <w:snapToGrid w:val="0"/>
        <w:spacing w:before="120" w:beforeLines="50" w:after="50"/>
        <w:ind w:firstLine="720" w:firstLineChars="225"/>
        <w:rPr>
          <w:rFonts w:hint="eastAsia" w:ascii="宋体" w:hAnsi="宋体" w:cs="仿宋_GB2312"/>
          <w:bCs/>
          <w:sz w:val="32"/>
          <w:szCs w:val="32"/>
        </w:rPr>
      </w:pPr>
    </w:p>
    <w:p>
      <w:pPr>
        <w:snapToGrid w:val="0"/>
        <w:spacing w:before="120" w:beforeLines="50" w:after="50"/>
        <w:ind w:firstLine="720" w:firstLineChars="225"/>
        <w:rPr>
          <w:rFonts w:hint="eastAsia" w:ascii="宋体" w:hAnsi="宋体" w:cs="仿宋_GB2312"/>
          <w:bCs/>
          <w:sz w:val="32"/>
          <w:szCs w:val="32"/>
        </w:rPr>
      </w:pPr>
    </w:p>
    <w:p>
      <w:pPr>
        <w:pStyle w:val="8"/>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pPr>
        <w:pStyle w:val="8"/>
        <w:snapToGrid w:val="0"/>
        <w:spacing w:before="50" w:after="50"/>
        <w:ind w:firstLine="640" w:firstLineChars="200"/>
        <w:rPr>
          <w:rFonts w:hint="eastAsia" w:ascii="宋体" w:hAnsi="宋体" w:cs="仿宋_GB2312"/>
          <w:bCs/>
          <w:sz w:val="32"/>
          <w:szCs w:val="32"/>
        </w:rPr>
      </w:pPr>
    </w:p>
    <w:p>
      <w:pPr>
        <w:pStyle w:val="8"/>
        <w:snapToGrid w:val="0"/>
        <w:spacing w:before="50" w:after="50"/>
        <w:ind w:firstLine="720" w:firstLineChars="225"/>
        <w:rPr>
          <w:rFonts w:hint="eastAsia" w:ascii="宋体" w:hAnsi="宋体" w:cs="仿宋_GB2312"/>
          <w:bCs/>
          <w:sz w:val="32"/>
          <w:szCs w:val="32"/>
        </w:rPr>
      </w:pPr>
    </w:p>
    <w:p>
      <w:pPr>
        <w:pStyle w:val="8"/>
        <w:snapToGrid w:val="0"/>
        <w:spacing w:before="50" w:after="50"/>
        <w:ind w:firstLine="0"/>
        <w:rPr>
          <w:rFonts w:hint="eastAsia" w:ascii="宋体" w:hAnsi="宋体" w:cs="仿宋_GB2312"/>
          <w:bCs/>
          <w:sz w:val="32"/>
          <w:szCs w:val="32"/>
        </w:rPr>
      </w:pPr>
    </w:p>
    <w:p>
      <w:pPr>
        <w:pStyle w:val="8"/>
        <w:snapToGrid w:val="0"/>
        <w:spacing w:before="50" w:after="50"/>
        <w:ind w:firstLine="1280" w:firstLineChars="400"/>
        <w:rPr>
          <w:rFonts w:hint="eastAsia" w:ascii="宋体" w:hAnsi="宋体" w:cs="仿宋_GB2312"/>
          <w:bCs/>
          <w:sz w:val="32"/>
          <w:szCs w:val="32"/>
        </w:rPr>
      </w:pPr>
    </w:p>
    <w:p>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pPr>
        <w:snapToGrid w:val="0"/>
        <w:spacing w:before="120" w:beforeLines="50" w:after="50" w:line="360" w:lineRule="auto"/>
        <w:ind w:right="480" w:firstLine="240" w:firstLineChars="100"/>
        <w:jc w:val="left"/>
        <w:rPr>
          <w:rFonts w:hint="eastAsia" w:ascii="宋体" w:hAnsi="宋体"/>
          <w:b/>
          <w:bCs/>
          <w:sz w:val="24"/>
        </w:rPr>
      </w:pPr>
      <w:r>
        <w:rPr>
          <w:rFonts w:ascii="宋体" w:hAnsi="宋体"/>
          <w:sz w:val="24"/>
        </w:rPr>
        <w:br w:type="page"/>
      </w:r>
      <w:r>
        <w:rPr>
          <w:rFonts w:hint="eastAsia" w:ascii="宋体" w:hAnsi="宋体"/>
          <w:b/>
          <w:bCs/>
          <w:sz w:val="32"/>
          <w:szCs w:val="32"/>
        </w:rPr>
        <w:t>2.商务技术文件目录</w:t>
      </w:r>
    </w:p>
    <w:p>
      <w:pPr>
        <w:snapToGrid w:val="0"/>
        <w:spacing w:before="120" w:beforeLines="50" w:after="50" w:line="360" w:lineRule="auto"/>
        <w:ind w:firstLine="640" w:firstLineChars="200"/>
        <w:rPr>
          <w:rFonts w:ascii="宋体" w:hAnsi="宋体"/>
          <w:sz w:val="32"/>
          <w:szCs w:val="32"/>
        </w:rPr>
      </w:pPr>
      <w:r>
        <w:rPr>
          <w:rFonts w:hint="eastAsia" w:ascii="宋体" w:hAnsi="宋体"/>
          <w:sz w:val="32"/>
          <w:szCs w:val="32"/>
        </w:rPr>
        <w:t>根据采购文件第二章供应商须知4.3规定及供应商提供的材料自行编写目录（部分格式后附）。</w:t>
      </w:r>
    </w:p>
    <w:p>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br w:type="page"/>
      </w:r>
      <w:r>
        <w:rPr>
          <w:rFonts w:hint="eastAsia" w:ascii="方正小标宋简体" w:hAnsi="方正小标宋简体" w:eastAsia="方正小标宋简体" w:cs="方正小标宋简体"/>
          <w:bCs/>
          <w:sz w:val="44"/>
          <w:szCs w:val="44"/>
        </w:rPr>
        <w:t>法定代表人证明书</w:t>
      </w:r>
    </w:p>
    <w:p>
      <w:pPr>
        <w:spacing w:line="360" w:lineRule="auto"/>
        <w:ind w:left="540"/>
        <w:contextualSpacing/>
        <w:rPr>
          <w:rFonts w:hint="eastAsia" w:ascii="仿宋_GB2312" w:hAnsi="仿宋_GB2312" w:eastAsia="仿宋_GB2312" w:cs="仿宋_GB2312"/>
          <w:sz w:val="32"/>
          <w:szCs w:val="32"/>
        </w:rPr>
      </w:pPr>
    </w:p>
    <w:p>
      <w:pPr>
        <w:spacing w:line="360" w:lineRule="auto"/>
        <w:ind w:left="540"/>
        <w:contextualSpacing/>
        <w:rPr>
          <w:rFonts w:hint="eastAsia" w:ascii="宋体" w:hAnsi="宋体" w:cs="仿宋_GB2312"/>
          <w:sz w:val="30"/>
          <w:szCs w:val="30"/>
        </w:rPr>
      </w:pPr>
      <w:r>
        <w:rPr>
          <w:rFonts w:hint="eastAsia" w:ascii="宋体" w:hAnsi="宋体" w:cs="仿宋_GB2312"/>
          <w:sz w:val="30"/>
          <w:szCs w:val="30"/>
        </w:rPr>
        <w:t>供应商名称：</w:t>
      </w:r>
      <w:r>
        <w:rPr>
          <w:rFonts w:hint="eastAsia" w:ascii="宋体" w:hAnsi="宋体" w:cs="仿宋_GB2312"/>
          <w:sz w:val="30"/>
          <w:szCs w:val="30"/>
          <w:u w:val="single"/>
        </w:rPr>
        <w:t xml:space="preserve">                                                        </w:t>
      </w:r>
    </w:p>
    <w:p>
      <w:pPr>
        <w:spacing w:line="360" w:lineRule="auto"/>
        <w:ind w:left="540"/>
        <w:contextualSpacing/>
        <w:rPr>
          <w:rFonts w:hint="eastAsia" w:ascii="宋体" w:hAnsi="宋体" w:cs="仿宋_GB2312"/>
          <w:sz w:val="30"/>
          <w:szCs w:val="30"/>
        </w:rPr>
      </w:pPr>
      <w:r>
        <w:rPr>
          <w:rFonts w:hint="eastAsia" w:ascii="宋体" w:hAnsi="宋体" w:cs="仿宋_GB2312"/>
          <w:sz w:val="30"/>
          <w:szCs w:val="30"/>
        </w:rPr>
        <w:t>地    址：</w:t>
      </w:r>
      <w:r>
        <w:rPr>
          <w:rFonts w:hint="eastAsia" w:ascii="宋体" w:hAnsi="宋体" w:cs="仿宋_GB2312"/>
          <w:sz w:val="30"/>
          <w:szCs w:val="30"/>
          <w:u w:val="single"/>
        </w:rPr>
        <w:t xml:space="preserve">                                                        </w:t>
      </w:r>
    </w:p>
    <w:p>
      <w:pPr>
        <w:spacing w:line="360" w:lineRule="auto"/>
        <w:ind w:left="540"/>
        <w:contextualSpacing/>
        <w:rPr>
          <w:rFonts w:hint="eastAsia" w:ascii="宋体" w:hAnsi="宋体" w:cs="仿宋_GB2312"/>
          <w:sz w:val="30"/>
          <w:szCs w:val="30"/>
        </w:rPr>
      </w:pPr>
      <w:r>
        <w:rPr>
          <w:rFonts w:hint="eastAsia" w:ascii="宋体" w:hAnsi="宋体" w:cs="仿宋_GB2312"/>
          <w:sz w:val="30"/>
          <w:szCs w:val="30"/>
        </w:rPr>
        <w:t>姓    名：</w:t>
      </w:r>
      <w:r>
        <w:rPr>
          <w:rFonts w:hint="eastAsia" w:ascii="宋体" w:hAnsi="宋体" w:cs="仿宋_GB2312"/>
          <w:sz w:val="30"/>
          <w:szCs w:val="30"/>
          <w:u w:val="single"/>
        </w:rPr>
        <w:t xml:space="preserve">                </w:t>
      </w:r>
      <w:r>
        <w:rPr>
          <w:rFonts w:hint="eastAsia" w:ascii="宋体" w:hAnsi="宋体" w:cs="仿宋_GB2312"/>
          <w:sz w:val="30"/>
          <w:szCs w:val="30"/>
        </w:rPr>
        <w:t>性     别：</w:t>
      </w:r>
      <w:r>
        <w:rPr>
          <w:rFonts w:hint="eastAsia" w:ascii="宋体" w:hAnsi="宋体" w:cs="仿宋_GB2312"/>
          <w:sz w:val="30"/>
          <w:szCs w:val="30"/>
          <w:u w:val="single"/>
        </w:rPr>
        <w:t xml:space="preserve">                </w:t>
      </w:r>
    </w:p>
    <w:p>
      <w:pPr>
        <w:spacing w:line="360" w:lineRule="auto"/>
        <w:ind w:left="540"/>
        <w:contextualSpacing/>
        <w:rPr>
          <w:rFonts w:hint="eastAsia" w:ascii="宋体" w:hAnsi="宋体" w:cs="仿宋_GB2312"/>
          <w:sz w:val="30"/>
          <w:szCs w:val="30"/>
          <w:u w:val="single"/>
        </w:rPr>
      </w:pPr>
      <w:r>
        <w:rPr>
          <w:rFonts w:hint="eastAsia" w:ascii="宋体" w:hAnsi="宋体" w:cs="仿宋_GB2312"/>
          <w:sz w:val="30"/>
          <w:szCs w:val="30"/>
        </w:rPr>
        <w:t>年    龄：</w:t>
      </w:r>
      <w:r>
        <w:rPr>
          <w:rFonts w:hint="eastAsia" w:ascii="宋体" w:hAnsi="宋体" w:cs="仿宋_GB2312"/>
          <w:sz w:val="30"/>
          <w:szCs w:val="30"/>
          <w:u w:val="single"/>
        </w:rPr>
        <w:t xml:space="preserve">                </w:t>
      </w:r>
      <w:r>
        <w:rPr>
          <w:rFonts w:hint="eastAsia" w:ascii="宋体" w:hAnsi="宋体" w:cs="仿宋_GB2312"/>
          <w:sz w:val="30"/>
          <w:szCs w:val="30"/>
        </w:rPr>
        <w:t>职     务：</w:t>
      </w:r>
      <w:r>
        <w:rPr>
          <w:rFonts w:hint="eastAsia" w:ascii="宋体" w:hAnsi="宋体" w:cs="仿宋_GB2312"/>
          <w:sz w:val="30"/>
          <w:szCs w:val="30"/>
          <w:u w:val="single"/>
        </w:rPr>
        <w:t xml:space="preserve">                </w:t>
      </w:r>
    </w:p>
    <w:p>
      <w:pPr>
        <w:spacing w:line="360" w:lineRule="auto"/>
        <w:ind w:left="540"/>
        <w:contextualSpacing/>
        <w:rPr>
          <w:rFonts w:hint="eastAsia" w:ascii="宋体" w:hAnsi="宋体" w:cs="仿宋_GB2312"/>
          <w:sz w:val="30"/>
          <w:szCs w:val="30"/>
        </w:rPr>
      </w:pPr>
      <w:r>
        <w:rPr>
          <w:rFonts w:hint="eastAsia" w:ascii="宋体" w:hAnsi="宋体" w:cs="仿宋_GB2312"/>
          <w:sz w:val="30"/>
          <w:szCs w:val="30"/>
        </w:rPr>
        <w:t>身份证号码：</w:t>
      </w:r>
      <w:r>
        <w:rPr>
          <w:rFonts w:hint="eastAsia" w:ascii="宋体" w:hAnsi="宋体" w:cs="仿宋_GB2312"/>
          <w:sz w:val="30"/>
          <w:szCs w:val="30"/>
          <w:u w:val="single"/>
        </w:rPr>
        <w:t xml:space="preserve">                                        </w:t>
      </w:r>
    </w:p>
    <w:p>
      <w:pPr>
        <w:spacing w:line="360" w:lineRule="auto"/>
        <w:ind w:firstLine="600" w:firstLineChars="200"/>
        <w:contextualSpacing/>
        <w:rPr>
          <w:rFonts w:hint="eastAsia" w:ascii="宋体" w:hAnsi="宋体" w:cs="仿宋_GB2312"/>
          <w:sz w:val="30"/>
          <w:szCs w:val="30"/>
        </w:rPr>
      </w:pPr>
      <w:r>
        <w:rPr>
          <w:rFonts w:hint="eastAsia" w:ascii="宋体" w:hAnsi="宋体" w:cs="仿宋_GB2312"/>
          <w:sz w:val="30"/>
          <w:szCs w:val="30"/>
        </w:rPr>
        <w:t>系</w:t>
      </w:r>
      <w:r>
        <w:rPr>
          <w:rFonts w:hint="eastAsia" w:ascii="宋体" w:hAnsi="宋体" w:cs="仿宋_GB2312"/>
          <w:sz w:val="30"/>
          <w:szCs w:val="30"/>
          <w:u w:val="single"/>
        </w:rPr>
        <w:t>（供应商名称）</w:t>
      </w:r>
      <w:r>
        <w:rPr>
          <w:rFonts w:hint="eastAsia" w:ascii="宋体" w:hAnsi="宋体" w:cs="仿宋_GB2312"/>
          <w:sz w:val="30"/>
          <w:szCs w:val="30"/>
        </w:rPr>
        <w:t>的法定代表人。</w:t>
      </w:r>
    </w:p>
    <w:p>
      <w:pPr>
        <w:spacing w:line="360" w:lineRule="auto"/>
        <w:ind w:left="540"/>
        <w:contextualSpacing/>
        <w:rPr>
          <w:rFonts w:hint="eastAsia" w:ascii="宋体" w:hAnsi="宋体" w:cs="仿宋_GB2312"/>
          <w:sz w:val="30"/>
          <w:szCs w:val="30"/>
        </w:rPr>
      </w:pPr>
      <w:r>
        <w:rPr>
          <w:rFonts w:hint="eastAsia" w:ascii="宋体" w:hAnsi="宋体" w:cs="仿宋_GB2312"/>
          <w:sz w:val="30"/>
          <w:szCs w:val="30"/>
        </w:rPr>
        <w:t>特此证明。</w:t>
      </w:r>
    </w:p>
    <w:p>
      <w:pPr>
        <w:spacing w:line="360" w:lineRule="auto"/>
        <w:ind w:left="540"/>
        <w:contextualSpacing/>
        <w:rPr>
          <w:rFonts w:hint="eastAsia" w:ascii="宋体" w:hAnsi="宋体" w:cs="仿宋_GB2312"/>
          <w:sz w:val="30"/>
          <w:szCs w:val="30"/>
        </w:rPr>
      </w:pPr>
    </w:p>
    <w:p>
      <w:pPr>
        <w:spacing w:line="360" w:lineRule="auto"/>
        <w:ind w:left="540"/>
        <w:contextualSpacing/>
        <w:rPr>
          <w:rFonts w:hint="eastAsia" w:ascii="宋体" w:hAnsi="宋体" w:cs="仿宋_GB2312"/>
          <w:sz w:val="30"/>
          <w:szCs w:val="30"/>
        </w:rPr>
      </w:pPr>
    </w:p>
    <w:p>
      <w:pPr>
        <w:spacing w:line="360" w:lineRule="auto"/>
        <w:ind w:left="540"/>
        <w:contextualSpacing/>
        <w:rPr>
          <w:rFonts w:hint="eastAsia" w:ascii="宋体" w:hAnsi="宋体" w:cs="仿宋_GB2312"/>
          <w:sz w:val="30"/>
          <w:szCs w:val="30"/>
        </w:rPr>
      </w:pPr>
    </w:p>
    <w:p>
      <w:pPr>
        <w:spacing w:line="360" w:lineRule="auto"/>
        <w:ind w:left="540"/>
        <w:contextualSpacing/>
        <w:rPr>
          <w:rFonts w:hint="eastAsia" w:ascii="宋体" w:hAnsi="宋体" w:cs="仿宋_GB2312"/>
          <w:sz w:val="30"/>
          <w:szCs w:val="30"/>
        </w:rPr>
      </w:pPr>
      <w:r>
        <w:rPr>
          <w:rFonts w:hint="eastAsia" w:ascii="宋体" w:hAnsi="宋体" w:cs="仿宋_GB2312"/>
          <w:sz w:val="30"/>
          <w:szCs w:val="30"/>
        </w:rPr>
        <w:t>附件：法定代表人有效身份证正反面复印件</w:t>
      </w:r>
    </w:p>
    <w:p>
      <w:pPr>
        <w:spacing w:line="360" w:lineRule="auto"/>
        <w:ind w:left="540"/>
        <w:contextualSpacing/>
        <w:rPr>
          <w:rFonts w:hint="eastAsia" w:ascii="宋体" w:hAnsi="宋体" w:cs="仿宋_GB2312"/>
          <w:sz w:val="30"/>
          <w:szCs w:val="30"/>
        </w:rPr>
      </w:pPr>
    </w:p>
    <w:p>
      <w:pPr>
        <w:spacing w:line="360" w:lineRule="auto"/>
        <w:ind w:left="540"/>
        <w:contextualSpacing/>
        <w:jc w:val="right"/>
        <w:rPr>
          <w:rFonts w:hint="eastAsia" w:ascii="宋体" w:hAnsi="宋体" w:cs="仿宋_GB2312"/>
          <w:sz w:val="30"/>
          <w:szCs w:val="30"/>
        </w:rPr>
      </w:pPr>
      <w:r>
        <w:rPr>
          <w:rFonts w:hint="eastAsia" w:ascii="宋体" w:hAnsi="宋体" w:cs="仿宋_GB2312"/>
          <w:sz w:val="30"/>
          <w:szCs w:val="30"/>
        </w:rPr>
        <w:t>供应商（盖章）：</w:t>
      </w:r>
      <w:r>
        <w:rPr>
          <w:rFonts w:hint="eastAsia" w:ascii="宋体" w:hAnsi="宋体" w:cs="仿宋_GB2312"/>
          <w:sz w:val="30"/>
          <w:szCs w:val="30"/>
          <w:u w:val="single"/>
        </w:rPr>
        <w:t xml:space="preserve">               </w:t>
      </w:r>
    </w:p>
    <w:p>
      <w:pPr>
        <w:spacing w:line="360" w:lineRule="auto"/>
        <w:ind w:firstLine="5100" w:firstLineChars="1700"/>
        <w:contextualSpacing/>
        <w:rPr>
          <w:rFonts w:hint="eastAsia" w:ascii="宋体" w:hAnsi="宋体" w:cs="仿宋_GB2312"/>
          <w:sz w:val="30"/>
          <w:szCs w:val="30"/>
        </w:rPr>
      </w:pPr>
      <w:r>
        <w:rPr>
          <w:rFonts w:hint="eastAsia" w:ascii="宋体" w:hAnsi="宋体" w:cs="仿宋_GB2312"/>
          <w:sz w:val="30"/>
          <w:szCs w:val="30"/>
          <w:u w:val="single"/>
        </w:rPr>
        <w:t xml:space="preserve">     </w:t>
      </w:r>
      <w:r>
        <w:rPr>
          <w:rFonts w:hint="eastAsia" w:ascii="宋体" w:hAnsi="宋体" w:cs="仿宋_GB2312"/>
          <w:sz w:val="30"/>
          <w:szCs w:val="30"/>
        </w:rPr>
        <w:t>年</w:t>
      </w:r>
      <w:r>
        <w:rPr>
          <w:rFonts w:hint="eastAsia" w:ascii="宋体" w:hAnsi="宋体" w:cs="仿宋_GB2312"/>
          <w:sz w:val="30"/>
          <w:szCs w:val="30"/>
          <w:u w:val="single"/>
        </w:rPr>
        <w:t xml:space="preserve">     </w:t>
      </w:r>
      <w:r>
        <w:rPr>
          <w:rFonts w:hint="eastAsia" w:ascii="宋体" w:hAnsi="宋体" w:cs="仿宋_GB2312"/>
          <w:sz w:val="30"/>
          <w:szCs w:val="30"/>
        </w:rPr>
        <w:t>月</w:t>
      </w:r>
      <w:r>
        <w:rPr>
          <w:rFonts w:hint="eastAsia" w:ascii="宋体" w:hAnsi="宋体" w:cs="仿宋_GB2312"/>
          <w:sz w:val="30"/>
          <w:szCs w:val="30"/>
          <w:u w:val="single"/>
        </w:rPr>
        <w:t xml:space="preserve">     </w:t>
      </w:r>
      <w:r>
        <w:rPr>
          <w:rFonts w:hint="eastAsia" w:ascii="宋体" w:hAnsi="宋体" w:cs="仿宋_GB2312"/>
          <w:sz w:val="30"/>
          <w:szCs w:val="30"/>
        </w:rPr>
        <w:t>日</w:t>
      </w:r>
    </w:p>
    <w:p>
      <w:pPr>
        <w:spacing w:line="360" w:lineRule="auto"/>
        <w:contextualSpacing/>
        <w:jc w:val="center"/>
        <w:rPr>
          <w:rFonts w:hint="eastAsia" w:ascii="宋体" w:hAnsi="宋体" w:cs="仿宋_GB2312"/>
          <w:b/>
          <w:sz w:val="24"/>
        </w:rPr>
      </w:pPr>
    </w:p>
    <w:p>
      <w:pPr>
        <w:spacing w:line="360" w:lineRule="auto"/>
        <w:contextualSpacing/>
        <w:jc w:val="left"/>
        <w:rPr>
          <w:rFonts w:hint="eastAsia" w:ascii="宋体" w:hAnsi="宋体" w:cs="仿宋_GB2312"/>
          <w:sz w:val="24"/>
        </w:rPr>
      </w:pPr>
    </w:p>
    <w:p>
      <w:pPr>
        <w:adjustRightInd w:val="0"/>
        <w:snapToGrid w:val="0"/>
        <w:spacing w:line="300" w:lineRule="auto"/>
        <w:jc w:val="left"/>
        <w:rPr>
          <w:rFonts w:hint="eastAsia" w:ascii="宋体" w:hAnsi="宋体"/>
          <w:b/>
          <w:szCs w:val="21"/>
        </w:rPr>
      </w:pPr>
    </w:p>
    <w:p>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ascii="方正小标宋简体" w:hAnsi="方正小标宋简体" w:eastAsia="方正小标宋简体" w:cs="方正小标宋简体"/>
          <w:sz w:val="44"/>
          <w:szCs w:val="44"/>
        </w:rPr>
        <w:t xml:space="preserve"> </w:t>
      </w:r>
    </w:p>
    <w:p>
      <w:pPr>
        <w:spacing w:line="520" w:lineRule="exact"/>
        <w:jc w:val="center"/>
        <w:rPr>
          <w:rFonts w:hint="eastAsia" w:ascii="方正小标宋简体" w:hAnsi="方正小标宋简体" w:eastAsia="方正小标宋简体" w:cs="方正小标宋简体"/>
          <w:sz w:val="44"/>
          <w:szCs w:val="44"/>
        </w:rPr>
      </w:pPr>
      <w:bookmarkStart w:id="86" w:name="_Hlk65853643"/>
      <w:r>
        <w:rPr>
          <w:rFonts w:hint="eastAsia" w:ascii="方正小标宋简体" w:hAnsi="方正小标宋简体" w:eastAsia="方正小标宋简体" w:cs="方正小标宋简体"/>
          <w:sz w:val="44"/>
          <w:szCs w:val="44"/>
        </w:rPr>
        <w:t>授权委托书</w:t>
      </w: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2"/>
          <w:szCs w:val="32"/>
        </w:rPr>
        <w:t>（如有委托时）</w:t>
      </w:r>
    </w:p>
    <w:p>
      <w:pPr>
        <w:spacing w:line="520" w:lineRule="exact"/>
        <w:rPr>
          <w:rFonts w:hint="eastAsia" w:ascii="仿宋_GB2312" w:hAnsi="仿宋_GB2312" w:eastAsia="仿宋_GB2312" w:cs="仿宋_GB2312"/>
          <w:sz w:val="32"/>
          <w:szCs w:val="32"/>
        </w:rPr>
      </w:pPr>
    </w:p>
    <w:p>
      <w:pPr>
        <w:spacing w:line="360" w:lineRule="auto"/>
        <w:jc w:val="left"/>
        <w:rPr>
          <w:rFonts w:ascii="宋体" w:hAnsi="宋体"/>
          <w:sz w:val="30"/>
          <w:szCs w:val="30"/>
        </w:rPr>
      </w:pPr>
      <w:r>
        <w:rPr>
          <w:rFonts w:hint="eastAsia" w:ascii="宋体" w:hAnsi="宋体"/>
          <w:sz w:val="30"/>
          <w:szCs w:val="30"/>
        </w:rPr>
        <w:t>致：</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rPr>
        <w:t xml:space="preserve">（采购人名称）：   </w:t>
      </w:r>
    </w:p>
    <w:p>
      <w:pPr>
        <w:spacing w:line="360" w:lineRule="auto"/>
        <w:ind w:firstLine="600" w:firstLineChars="200"/>
        <w:jc w:val="left"/>
        <w:rPr>
          <w:rFonts w:ascii="宋体" w:hAnsi="宋体"/>
          <w:sz w:val="30"/>
          <w:szCs w:val="30"/>
        </w:rPr>
      </w:pPr>
      <w:r>
        <w:rPr>
          <w:rFonts w:hint="eastAsia" w:ascii="宋体" w:hAnsi="宋体"/>
          <w:sz w:val="30"/>
          <w:szCs w:val="30"/>
        </w:rPr>
        <w:t>本人</w:t>
      </w:r>
      <w:r>
        <w:rPr>
          <w:rFonts w:hint="eastAsia" w:ascii="宋体" w:hAnsi="宋体"/>
          <w:sz w:val="30"/>
          <w:szCs w:val="30"/>
          <w:u w:val="single"/>
        </w:rPr>
        <w:t xml:space="preserve">          （姓名） </w:t>
      </w:r>
      <w:r>
        <w:rPr>
          <w:rFonts w:hint="eastAsia" w:ascii="宋体" w:hAnsi="宋体"/>
          <w:sz w:val="30"/>
          <w:szCs w:val="30"/>
        </w:rPr>
        <w:t>系</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u w:val="single"/>
        </w:rPr>
        <w:t xml:space="preserve">             （响应人全称）</w:t>
      </w:r>
      <w:r>
        <w:rPr>
          <w:rFonts w:hint="eastAsia" w:ascii="宋体" w:hAnsi="宋体"/>
          <w:sz w:val="30"/>
          <w:szCs w:val="30"/>
        </w:rPr>
        <w:t>的法定代表人，现授权委托</w:t>
      </w:r>
      <w:r>
        <w:rPr>
          <w:rFonts w:hint="eastAsia" w:ascii="宋体" w:hAnsi="宋体"/>
          <w:sz w:val="30"/>
          <w:szCs w:val="30"/>
          <w:u w:val="single"/>
        </w:rPr>
        <w:t xml:space="preserve">          （被委托人姓名、职务）</w:t>
      </w:r>
      <w:r>
        <w:rPr>
          <w:rFonts w:hint="eastAsia" w:ascii="宋体" w:hAnsi="宋体"/>
          <w:sz w:val="30"/>
          <w:szCs w:val="30"/>
        </w:rPr>
        <w:t>为我公司代理人，以本公司的名义参加</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u w:val="single"/>
        </w:rPr>
        <w:t xml:space="preserve">          （项目名称） </w:t>
      </w:r>
      <w:r>
        <w:rPr>
          <w:rFonts w:hint="eastAsia" w:ascii="宋体" w:hAnsi="宋体"/>
          <w:sz w:val="30"/>
          <w:szCs w:val="30"/>
        </w:rPr>
        <w:t>采购活动。代理人在采购活动过程中所签署的一切文件和处理与之有关的一切事务，均为代表本公司的行为，与本人的行为具有同等法律效力。本公司将承担代理人行为的一切法律责任和后果。</w:t>
      </w:r>
    </w:p>
    <w:p>
      <w:pPr>
        <w:spacing w:line="360" w:lineRule="auto"/>
        <w:ind w:firstLine="600" w:firstLineChars="200"/>
        <w:jc w:val="left"/>
        <w:rPr>
          <w:rFonts w:ascii="宋体" w:hAnsi="宋体"/>
          <w:sz w:val="30"/>
          <w:szCs w:val="30"/>
        </w:rPr>
      </w:pPr>
      <w:r>
        <w:rPr>
          <w:rFonts w:hint="eastAsia" w:ascii="宋体" w:hAnsi="宋体"/>
          <w:sz w:val="30"/>
          <w:szCs w:val="30"/>
        </w:rPr>
        <w:t>代理人无转委托权，特此委托。</w:t>
      </w:r>
    </w:p>
    <w:p>
      <w:pPr>
        <w:spacing w:line="360" w:lineRule="auto"/>
        <w:jc w:val="left"/>
        <w:rPr>
          <w:rFonts w:ascii="宋体" w:hAnsi="宋体"/>
          <w:sz w:val="30"/>
          <w:szCs w:val="30"/>
        </w:rPr>
      </w:pPr>
    </w:p>
    <w:p>
      <w:pPr>
        <w:spacing w:line="360" w:lineRule="auto"/>
        <w:ind w:firstLine="1800" w:firstLineChars="600"/>
        <w:rPr>
          <w:rFonts w:ascii="宋体" w:hAnsi="宋体"/>
          <w:sz w:val="30"/>
          <w:szCs w:val="30"/>
        </w:rPr>
      </w:pPr>
      <w:r>
        <w:rPr>
          <w:rFonts w:hint="eastAsia" w:ascii="宋体" w:hAnsi="宋体"/>
          <w:sz w:val="30"/>
          <w:szCs w:val="30"/>
        </w:rPr>
        <w:t>代理人：</w:t>
      </w:r>
      <w:r>
        <w:rPr>
          <w:rFonts w:hint="eastAsia" w:ascii="宋体" w:hAnsi="宋体"/>
          <w:sz w:val="30"/>
          <w:szCs w:val="30"/>
          <w:u w:val="single"/>
        </w:rPr>
        <w:t xml:space="preserve">       （签字）</w:t>
      </w:r>
      <w:r>
        <w:rPr>
          <w:rFonts w:hint="eastAsia" w:ascii="宋体" w:hAnsi="宋体"/>
          <w:sz w:val="30"/>
          <w:szCs w:val="30"/>
        </w:rPr>
        <w:t>性别：</w:t>
      </w:r>
      <w:r>
        <w:rPr>
          <w:rFonts w:hint="eastAsia" w:ascii="宋体" w:hAnsi="宋体"/>
          <w:sz w:val="30"/>
          <w:szCs w:val="30"/>
          <w:u w:val="single"/>
        </w:rPr>
        <w:t xml:space="preserve">     </w:t>
      </w:r>
      <w:r>
        <w:rPr>
          <w:rFonts w:hint="eastAsia" w:ascii="宋体" w:hAnsi="宋体"/>
          <w:sz w:val="30"/>
          <w:szCs w:val="30"/>
        </w:rPr>
        <w:t>年龄：</w:t>
      </w:r>
      <w:r>
        <w:rPr>
          <w:rFonts w:hint="eastAsia" w:ascii="宋体" w:hAnsi="宋体"/>
          <w:sz w:val="30"/>
          <w:szCs w:val="30"/>
          <w:u w:val="single"/>
        </w:rPr>
        <w:t xml:space="preserve">     </w:t>
      </w:r>
    </w:p>
    <w:p>
      <w:pPr>
        <w:spacing w:line="360" w:lineRule="auto"/>
        <w:ind w:firstLine="1800" w:firstLineChars="600"/>
        <w:rPr>
          <w:rFonts w:ascii="宋体" w:hAnsi="宋体"/>
          <w:sz w:val="30"/>
          <w:szCs w:val="30"/>
        </w:rPr>
      </w:pPr>
      <w:r>
        <w:rPr>
          <w:rFonts w:hint="eastAsia" w:ascii="宋体" w:hAnsi="宋体"/>
          <w:sz w:val="30"/>
          <w:szCs w:val="30"/>
        </w:rPr>
        <w:t>身份证号码：</w:t>
      </w:r>
      <w:r>
        <w:rPr>
          <w:rFonts w:hint="eastAsia" w:ascii="宋体" w:hAnsi="宋体"/>
          <w:sz w:val="30"/>
          <w:szCs w:val="30"/>
          <w:u w:val="single"/>
        </w:rPr>
        <w:t xml:space="preserve">                                 </w:t>
      </w:r>
    </w:p>
    <w:p>
      <w:pPr>
        <w:spacing w:line="360" w:lineRule="auto"/>
        <w:ind w:firstLine="1800" w:firstLineChars="600"/>
        <w:rPr>
          <w:rFonts w:ascii="宋体" w:hAnsi="宋体"/>
          <w:sz w:val="30"/>
          <w:szCs w:val="30"/>
          <w:u w:val="single"/>
        </w:rPr>
      </w:pPr>
      <w:r>
        <w:rPr>
          <w:rFonts w:hint="eastAsia" w:ascii="宋体" w:hAnsi="宋体"/>
          <w:sz w:val="30"/>
          <w:szCs w:val="30"/>
        </w:rPr>
        <w:t>响应人（盖章）：</w:t>
      </w:r>
      <w:r>
        <w:rPr>
          <w:rFonts w:hint="eastAsia" w:ascii="宋体" w:hAnsi="宋体"/>
          <w:sz w:val="30"/>
          <w:szCs w:val="30"/>
          <w:u w:val="single"/>
        </w:rPr>
        <w:t xml:space="preserve">                              </w:t>
      </w:r>
    </w:p>
    <w:p>
      <w:pPr>
        <w:spacing w:line="360" w:lineRule="auto"/>
        <w:ind w:firstLine="1800" w:firstLineChars="600"/>
        <w:rPr>
          <w:rFonts w:ascii="宋体" w:hAnsi="宋体"/>
          <w:sz w:val="30"/>
          <w:szCs w:val="30"/>
          <w:u w:val="single"/>
        </w:rPr>
      </w:pPr>
      <w:r>
        <w:rPr>
          <w:rFonts w:hint="eastAsia" w:ascii="宋体" w:hAnsi="宋体"/>
          <w:sz w:val="30"/>
          <w:szCs w:val="30"/>
        </w:rPr>
        <w:t>法定代表人（签字或盖章）：</w:t>
      </w:r>
      <w:r>
        <w:rPr>
          <w:rFonts w:hint="eastAsia" w:ascii="宋体" w:hAnsi="宋体"/>
          <w:sz w:val="30"/>
          <w:szCs w:val="30"/>
          <w:u w:val="single"/>
        </w:rPr>
        <w:t xml:space="preserve">                    </w:t>
      </w:r>
    </w:p>
    <w:p>
      <w:pPr>
        <w:spacing w:line="360" w:lineRule="auto"/>
        <w:ind w:firstLine="1800" w:firstLineChars="600"/>
        <w:rPr>
          <w:rFonts w:ascii="宋体" w:hAnsi="宋体"/>
          <w:sz w:val="30"/>
          <w:szCs w:val="30"/>
        </w:rPr>
      </w:pPr>
      <w:r>
        <w:rPr>
          <w:rFonts w:hint="eastAsia" w:ascii="宋体" w:hAnsi="宋体"/>
          <w:sz w:val="30"/>
          <w:szCs w:val="30"/>
        </w:rPr>
        <w:t>授权委托日期：</w:t>
      </w:r>
      <w:r>
        <w:rPr>
          <w:rFonts w:hint="eastAsia" w:ascii="宋体" w:hAnsi="宋体"/>
          <w:sz w:val="30"/>
          <w:szCs w:val="30"/>
          <w:u w:val="single"/>
        </w:rPr>
        <w:t xml:space="preserve">         </w:t>
      </w:r>
      <w:r>
        <w:rPr>
          <w:rFonts w:hint="eastAsia" w:ascii="宋体" w:hAnsi="宋体"/>
          <w:sz w:val="30"/>
          <w:szCs w:val="30"/>
        </w:rPr>
        <w:t>年</w:t>
      </w:r>
      <w:r>
        <w:rPr>
          <w:rFonts w:hint="eastAsia" w:ascii="宋体" w:hAnsi="宋体"/>
          <w:sz w:val="30"/>
          <w:szCs w:val="30"/>
          <w:u w:val="single"/>
        </w:rPr>
        <w:t xml:space="preserve">     </w:t>
      </w:r>
      <w:r>
        <w:rPr>
          <w:rFonts w:hint="eastAsia" w:ascii="宋体" w:hAnsi="宋体"/>
          <w:sz w:val="30"/>
          <w:szCs w:val="30"/>
        </w:rPr>
        <w:t xml:space="preserve">月 </w:t>
      </w:r>
      <w:r>
        <w:rPr>
          <w:rFonts w:hint="eastAsia" w:ascii="宋体" w:hAnsi="宋体"/>
          <w:sz w:val="30"/>
          <w:szCs w:val="30"/>
          <w:u w:val="single"/>
        </w:rPr>
        <w:t xml:space="preserve">     </w:t>
      </w:r>
      <w:r>
        <w:rPr>
          <w:rFonts w:hint="eastAsia" w:ascii="宋体" w:hAnsi="宋体"/>
          <w:sz w:val="30"/>
          <w:szCs w:val="30"/>
        </w:rPr>
        <w:t>日</w:t>
      </w:r>
    </w:p>
    <w:p>
      <w:pPr>
        <w:spacing w:line="360" w:lineRule="auto"/>
        <w:jc w:val="left"/>
        <w:rPr>
          <w:rFonts w:ascii="宋体" w:hAnsi="宋体"/>
          <w:sz w:val="30"/>
          <w:szCs w:val="30"/>
        </w:rPr>
      </w:pPr>
      <w:r>
        <w:rPr>
          <w:rFonts w:hint="eastAsia" w:ascii="宋体" w:hAnsi="宋体"/>
          <w:sz w:val="30"/>
          <w:szCs w:val="30"/>
        </w:rPr>
        <w:t>注：1、附法定代表人及委托代理人身份证复印件并加盖单位公章。</w:t>
      </w:r>
    </w:p>
    <w:p>
      <w:pPr>
        <w:spacing w:line="360" w:lineRule="auto"/>
        <w:ind w:firstLine="600" w:firstLineChars="200"/>
        <w:rPr>
          <w:rFonts w:hint="eastAsia" w:ascii="宋体" w:hAnsi="宋体" w:cs="宋体"/>
          <w:b/>
          <w:sz w:val="30"/>
          <w:szCs w:val="30"/>
        </w:rPr>
      </w:pPr>
      <w:r>
        <w:rPr>
          <w:rFonts w:hint="eastAsia" w:ascii="宋体" w:hAnsi="宋体"/>
          <w:sz w:val="30"/>
          <w:szCs w:val="30"/>
        </w:rPr>
        <w:t>2、响应人的法定代表人直接参加采购活动的，不提供授权书。</w:t>
      </w:r>
    </w:p>
    <w:p>
      <w:pPr>
        <w:spacing w:line="360" w:lineRule="auto"/>
        <w:ind w:firstLine="420" w:firstLineChars="200"/>
        <w:jc w:val="center"/>
        <w:rPr>
          <w:rFonts w:hint="eastAsia" w:ascii="方正小标宋简体" w:hAnsi="方正小标宋简体" w:eastAsia="方正小标宋简体" w:cs="方正小标宋简体"/>
          <w:bCs/>
          <w:sz w:val="44"/>
          <w:szCs w:val="44"/>
        </w:rPr>
      </w:pPr>
      <w:r>
        <w:rPr>
          <w:rFonts w:hint="eastAsia" w:ascii="仿宋_GB2312" w:hAnsi="仿宋_GB2312" w:eastAsia="仿宋_GB2312" w:cs="仿宋_GB2312"/>
          <w:szCs w:val="21"/>
        </w:rPr>
        <w:br w:type="page"/>
      </w:r>
      <w:bookmarkEnd w:id="86"/>
      <w:r>
        <w:rPr>
          <w:rFonts w:hint="eastAsia" w:ascii="方正小标宋简体" w:hAnsi="方正小标宋简体" w:eastAsia="方正小标宋简体" w:cs="方正小标宋简体"/>
          <w:bCs/>
          <w:sz w:val="44"/>
          <w:szCs w:val="44"/>
        </w:rPr>
        <w:t>商务要求偏离表格式</w:t>
      </w:r>
    </w:p>
    <w:p>
      <w:pPr>
        <w:pStyle w:val="54"/>
        <w:rPr>
          <w:rFonts w:hint="eastAsia"/>
        </w:rPr>
      </w:pPr>
    </w:p>
    <w:tbl>
      <w:tblPr>
        <w:tblStyle w:val="30"/>
        <w:tblW w:w="92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6"/>
        <w:gridCol w:w="2665"/>
        <w:gridCol w:w="2347"/>
        <w:gridCol w:w="21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17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cs="仿宋_GB2312"/>
                <w:sz w:val="24"/>
              </w:rPr>
            </w:pPr>
            <w:r>
              <w:rPr>
                <w:rFonts w:hint="eastAsia" w:ascii="宋体" w:hAnsi="宋体" w:cs="仿宋_GB2312"/>
                <w:sz w:val="24"/>
              </w:rPr>
              <w:t>项目</w:t>
            </w:r>
          </w:p>
        </w:tc>
        <w:tc>
          <w:tcPr>
            <w:tcW w:w="266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cs="仿宋_GB2312"/>
                <w:sz w:val="24"/>
              </w:rPr>
            </w:pPr>
            <w:r>
              <w:rPr>
                <w:rFonts w:hint="eastAsia" w:ascii="宋体" w:hAnsi="宋体" w:cs="仿宋_GB2312"/>
                <w:sz w:val="24"/>
              </w:rPr>
              <w:t>采购文件商务要求</w:t>
            </w:r>
          </w:p>
        </w:tc>
        <w:tc>
          <w:tcPr>
            <w:tcW w:w="234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cs="仿宋_GB2312"/>
                <w:sz w:val="24"/>
              </w:rPr>
            </w:pPr>
            <w:r>
              <w:rPr>
                <w:rFonts w:hint="eastAsia" w:ascii="宋体" w:hAnsi="宋体" w:cs="仿宋_GB2312"/>
                <w:sz w:val="24"/>
              </w:rPr>
              <w:t>供应商的响应</w:t>
            </w:r>
          </w:p>
        </w:tc>
        <w:tc>
          <w:tcPr>
            <w:tcW w:w="211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cs="仿宋_GB2312"/>
                <w:sz w:val="24"/>
              </w:rPr>
            </w:pPr>
            <w:r>
              <w:rPr>
                <w:rFonts w:hint="eastAsia" w:ascii="宋体" w:hAnsi="宋体" w:cs="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217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服务完成时间及服务地点、合同签订期</w:t>
            </w:r>
          </w:p>
        </w:tc>
        <w:tc>
          <w:tcPr>
            <w:tcW w:w="2665" w:type="dxa"/>
            <w:tcBorders>
              <w:top w:val="single" w:color="auto" w:sz="4" w:space="0"/>
              <w:left w:val="single" w:color="auto" w:sz="4" w:space="0"/>
              <w:bottom w:val="single" w:color="auto" w:sz="4" w:space="0"/>
              <w:right w:val="single" w:color="auto" w:sz="4" w:space="0"/>
            </w:tcBorders>
            <w:vAlign w:val="center"/>
          </w:tcPr>
          <w:p>
            <w:pPr>
              <w:spacing w:line="320" w:lineRule="exact"/>
              <w:contextualSpacing/>
              <w:jc w:val="left"/>
              <w:rPr>
                <w:rFonts w:hint="eastAsia" w:ascii="宋体" w:hAnsi="宋体" w:cs="仿宋_GB2312"/>
                <w:sz w:val="18"/>
                <w:szCs w:val="18"/>
              </w:rPr>
            </w:pPr>
          </w:p>
        </w:tc>
        <w:tc>
          <w:tcPr>
            <w:tcW w:w="2347" w:type="dxa"/>
            <w:tcBorders>
              <w:top w:val="single" w:color="auto" w:sz="4" w:space="0"/>
              <w:left w:val="single" w:color="auto" w:sz="4" w:space="0"/>
              <w:bottom w:val="single" w:color="auto" w:sz="4" w:space="0"/>
              <w:right w:val="single" w:color="auto" w:sz="4" w:space="0"/>
            </w:tcBorders>
            <w:vAlign w:val="center"/>
          </w:tcPr>
          <w:p>
            <w:pPr>
              <w:spacing w:line="320" w:lineRule="exact"/>
              <w:contextualSpacing/>
              <w:jc w:val="left"/>
              <w:rPr>
                <w:rFonts w:hint="eastAsia" w:ascii="宋体" w:hAnsi="宋体" w:cs="仿宋_GB2312"/>
                <w:sz w:val="18"/>
                <w:szCs w:val="18"/>
              </w:rPr>
            </w:pPr>
          </w:p>
        </w:tc>
        <w:tc>
          <w:tcPr>
            <w:tcW w:w="2110" w:type="dxa"/>
            <w:tcBorders>
              <w:top w:val="single" w:color="auto" w:sz="4" w:space="0"/>
              <w:left w:val="single" w:color="auto" w:sz="4" w:space="0"/>
              <w:bottom w:val="single" w:color="auto" w:sz="4" w:space="0"/>
              <w:right w:val="single" w:color="auto" w:sz="4" w:space="0"/>
            </w:tcBorders>
            <w:vAlign w:val="center"/>
          </w:tcPr>
          <w:p>
            <w:pPr>
              <w:spacing w:line="320" w:lineRule="exact"/>
              <w:contextualSpacing/>
              <w:jc w:val="left"/>
              <w:rPr>
                <w:rFonts w:hint="eastAsia"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17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▲付款方式</w:t>
            </w:r>
          </w:p>
        </w:tc>
        <w:tc>
          <w:tcPr>
            <w:tcW w:w="2665" w:type="dxa"/>
            <w:tcBorders>
              <w:top w:val="single" w:color="auto" w:sz="4" w:space="0"/>
              <w:left w:val="single" w:color="auto" w:sz="4" w:space="0"/>
              <w:bottom w:val="single" w:color="auto" w:sz="4" w:space="0"/>
              <w:right w:val="single" w:color="auto" w:sz="4" w:space="0"/>
            </w:tcBorders>
            <w:vAlign w:val="center"/>
          </w:tcPr>
          <w:p>
            <w:pPr>
              <w:spacing w:line="320" w:lineRule="exact"/>
              <w:contextualSpacing/>
              <w:jc w:val="left"/>
              <w:rPr>
                <w:rFonts w:hint="eastAsia" w:ascii="宋体" w:hAnsi="宋体" w:cs="仿宋_GB2312"/>
                <w:sz w:val="18"/>
                <w:szCs w:val="18"/>
              </w:rPr>
            </w:pPr>
          </w:p>
        </w:tc>
        <w:tc>
          <w:tcPr>
            <w:tcW w:w="2347" w:type="dxa"/>
            <w:tcBorders>
              <w:top w:val="single" w:color="auto" w:sz="4" w:space="0"/>
              <w:left w:val="single" w:color="auto" w:sz="4" w:space="0"/>
              <w:bottom w:val="single" w:color="auto" w:sz="4" w:space="0"/>
              <w:right w:val="single" w:color="auto" w:sz="4" w:space="0"/>
            </w:tcBorders>
            <w:vAlign w:val="center"/>
          </w:tcPr>
          <w:p>
            <w:pPr>
              <w:spacing w:line="320" w:lineRule="exact"/>
              <w:contextualSpacing/>
              <w:jc w:val="left"/>
              <w:rPr>
                <w:rFonts w:hint="eastAsia" w:ascii="宋体" w:hAnsi="宋体" w:cs="仿宋_GB2312"/>
                <w:sz w:val="18"/>
                <w:szCs w:val="18"/>
              </w:rPr>
            </w:pPr>
          </w:p>
        </w:tc>
        <w:tc>
          <w:tcPr>
            <w:tcW w:w="2110" w:type="dxa"/>
            <w:tcBorders>
              <w:top w:val="single" w:color="auto" w:sz="4" w:space="0"/>
              <w:left w:val="single" w:color="auto" w:sz="4" w:space="0"/>
              <w:bottom w:val="single" w:color="auto" w:sz="4" w:space="0"/>
              <w:right w:val="single" w:color="auto" w:sz="4" w:space="0"/>
            </w:tcBorders>
            <w:vAlign w:val="center"/>
          </w:tcPr>
          <w:p>
            <w:pPr>
              <w:spacing w:line="320" w:lineRule="exact"/>
              <w:contextualSpacing/>
              <w:jc w:val="left"/>
              <w:rPr>
                <w:rFonts w:hint="eastAsia"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17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报价及其他要求</w:t>
            </w:r>
          </w:p>
        </w:tc>
        <w:tc>
          <w:tcPr>
            <w:tcW w:w="2665" w:type="dxa"/>
            <w:tcBorders>
              <w:top w:val="single" w:color="auto" w:sz="4" w:space="0"/>
              <w:left w:val="single" w:color="auto" w:sz="4" w:space="0"/>
              <w:bottom w:val="single" w:color="auto" w:sz="4" w:space="0"/>
              <w:right w:val="single" w:color="auto" w:sz="4" w:space="0"/>
            </w:tcBorders>
            <w:vAlign w:val="center"/>
          </w:tcPr>
          <w:p>
            <w:pPr>
              <w:spacing w:line="320" w:lineRule="exact"/>
              <w:contextualSpacing/>
              <w:jc w:val="left"/>
              <w:rPr>
                <w:rFonts w:hint="eastAsia" w:ascii="宋体" w:hAnsi="宋体" w:cs="仿宋_GB2312"/>
                <w:sz w:val="18"/>
                <w:szCs w:val="18"/>
              </w:rPr>
            </w:pPr>
          </w:p>
        </w:tc>
        <w:tc>
          <w:tcPr>
            <w:tcW w:w="2347" w:type="dxa"/>
            <w:tcBorders>
              <w:top w:val="single" w:color="auto" w:sz="4" w:space="0"/>
              <w:left w:val="single" w:color="auto" w:sz="4" w:space="0"/>
              <w:bottom w:val="single" w:color="auto" w:sz="4" w:space="0"/>
              <w:right w:val="single" w:color="auto" w:sz="4" w:space="0"/>
            </w:tcBorders>
            <w:vAlign w:val="center"/>
          </w:tcPr>
          <w:p>
            <w:pPr>
              <w:spacing w:line="320" w:lineRule="exact"/>
              <w:ind w:left="43"/>
              <w:contextualSpacing/>
              <w:jc w:val="left"/>
              <w:rPr>
                <w:rFonts w:hint="eastAsia" w:ascii="宋体" w:hAnsi="宋体" w:cs="仿宋_GB2312"/>
                <w:sz w:val="18"/>
                <w:szCs w:val="18"/>
              </w:rPr>
            </w:pPr>
          </w:p>
        </w:tc>
        <w:tc>
          <w:tcPr>
            <w:tcW w:w="2110" w:type="dxa"/>
            <w:tcBorders>
              <w:top w:val="single" w:color="auto" w:sz="4" w:space="0"/>
              <w:left w:val="single" w:color="auto" w:sz="4" w:space="0"/>
              <w:bottom w:val="single" w:color="auto" w:sz="4" w:space="0"/>
              <w:right w:val="single" w:color="auto" w:sz="4" w:space="0"/>
            </w:tcBorders>
            <w:vAlign w:val="center"/>
          </w:tcPr>
          <w:p>
            <w:pPr>
              <w:spacing w:line="320" w:lineRule="exact"/>
              <w:ind w:left="43"/>
              <w:contextualSpacing/>
              <w:jc w:val="left"/>
              <w:rPr>
                <w:rFonts w:hint="eastAsia"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17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售后服务要求</w:t>
            </w:r>
          </w:p>
        </w:tc>
        <w:tc>
          <w:tcPr>
            <w:tcW w:w="2665" w:type="dxa"/>
            <w:tcBorders>
              <w:top w:val="single" w:color="auto" w:sz="4" w:space="0"/>
              <w:left w:val="single" w:color="auto" w:sz="4" w:space="0"/>
              <w:bottom w:val="single" w:color="auto" w:sz="4" w:space="0"/>
              <w:right w:val="single" w:color="auto" w:sz="4" w:space="0"/>
            </w:tcBorders>
            <w:vAlign w:val="center"/>
          </w:tcPr>
          <w:p>
            <w:pPr>
              <w:spacing w:line="320" w:lineRule="exact"/>
              <w:contextualSpacing/>
              <w:jc w:val="left"/>
              <w:rPr>
                <w:rFonts w:hint="eastAsia" w:ascii="宋体" w:hAnsi="宋体" w:cs="仿宋_GB2312"/>
                <w:sz w:val="18"/>
                <w:szCs w:val="18"/>
              </w:rPr>
            </w:pPr>
          </w:p>
        </w:tc>
        <w:tc>
          <w:tcPr>
            <w:tcW w:w="2347" w:type="dxa"/>
            <w:tcBorders>
              <w:top w:val="single" w:color="auto" w:sz="4" w:space="0"/>
              <w:left w:val="single" w:color="auto" w:sz="4" w:space="0"/>
              <w:bottom w:val="single" w:color="auto" w:sz="4" w:space="0"/>
              <w:right w:val="single" w:color="auto" w:sz="4" w:space="0"/>
            </w:tcBorders>
            <w:vAlign w:val="center"/>
          </w:tcPr>
          <w:p>
            <w:pPr>
              <w:spacing w:line="320" w:lineRule="exact"/>
              <w:ind w:left="43"/>
              <w:contextualSpacing/>
              <w:jc w:val="left"/>
              <w:rPr>
                <w:rFonts w:hint="eastAsia" w:ascii="宋体" w:hAnsi="宋体" w:cs="仿宋_GB2312"/>
                <w:sz w:val="18"/>
                <w:szCs w:val="18"/>
              </w:rPr>
            </w:pPr>
          </w:p>
        </w:tc>
        <w:tc>
          <w:tcPr>
            <w:tcW w:w="2110" w:type="dxa"/>
            <w:tcBorders>
              <w:top w:val="single" w:color="auto" w:sz="4" w:space="0"/>
              <w:left w:val="single" w:color="auto" w:sz="4" w:space="0"/>
              <w:bottom w:val="single" w:color="auto" w:sz="4" w:space="0"/>
              <w:right w:val="single" w:color="auto" w:sz="4" w:space="0"/>
            </w:tcBorders>
            <w:vAlign w:val="center"/>
          </w:tcPr>
          <w:p>
            <w:pPr>
              <w:spacing w:line="320" w:lineRule="exact"/>
              <w:ind w:left="43"/>
              <w:contextualSpacing/>
              <w:jc w:val="left"/>
              <w:rPr>
                <w:rFonts w:hint="eastAsia"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17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sz w:val="18"/>
                <w:szCs w:val="18"/>
              </w:rPr>
            </w:pPr>
            <w:r>
              <w:rPr>
                <w:rFonts w:hint="eastAsia" w:ascii="宋体" w:hAnsi="宋体"/>
                <w:sz w:val="18"/>
                <w:szCs w:val="18"/>
              </w:rPr>
              <w:t>质量管理、企业信用要求</w:t>
            </w:r>
          </w:p>
        </w:tc>
        <w:tc>
          <w:tcPr>
            <w:tcW w:w="2665" w:type="dxa"/>
            <w:tcBorders>
              <w:top w:val="single" w:color="auto" w:sz="4" w:space="0"/>
              <w:left w:val="single" w:color="auto" w:sz="4" w:space="0"/>
              <w:bottom w:val="single" w:color="auto" w:sz="4" w:space="0"/>
              <w:right w:val="single" w:color="auto" w:sz="4" w:space="0"/>
            </w:tcBorders>
            <w:vAlign w:val="center"/>
          </w:tcPr>
          <w:p>
            <w:pPr>
              <w:spacing w:line="320" w:lineRule="exact"/>
              <w:contextualSpacing/>
              <w:jc w:val="left"/>
              <w:rPr>
                <w:rFonts w:hint="eastAsia" w:ascii="宋体" w:hAnsi="宋体" w:cs="仿宋_GB2312"/>
                <w:sz w:val="18"/>
                <w:szCs w:val="18"/>
              </w:rPr>
            </w:pPr>
          </w:p>
        </w:tc>
        <w:tc>
          <w:tcPr>
            <w:tcW w:w="2347" w:type="dxa"/>
            <w:tcBorders>
              <w:top w:val="single" w:color="auto" w:sz="4" w:space="0"/>
              <w:left w:val="single" w:color="auto" w:sz="4" w:space="0"/>
              <w:bottom w:val="single" w:color="auto" w:sz="4" w:space="0"/>
              <w:right w:val="single" w:color="auto" w:sz="4" w:space="0"/>
            </w:tcBorders>
            <w:vAlign w:val="center"/>
          </w:tcPr>
          <w:p>
            <w:pPr>
              <w:spacing w:line="320" w:lineRule="exact"/>
              <w:ind w:left="43"/>
              <w:contextualSpacing/>
              <w:jc w:val="left"/>
              <w:rPr>
                <w:rFonts w:hint="eastAsia" w:ascii="宋体" w:hAnsi="宋体" w:cs="仿宋_GB2312"/>
                <w:sz w:val="18"/>
                <w:szCs w:val="18"/>
              </w:rPr>
            </w:pPr>
          </w:p>
        </w:tc>
        <w:tc>
          <w:tcPr>
            <w:tcW w:w="2110" w:type="dxa"/>
            <w:tcBorders>
              <w:top w:val="single" w:color="auto" w:sz="4" w:space="0"/>
              <w:left w:val="single" w:color="auto" w:sz="4" w:space="0"/>
              <w:bottom w:val="single" w:color="auto" w:sz="4" w:space="0"/>
              <w:right w:val="single" w:color="auto" w:sz="4" w:space="0"/>
            </w:tcBorders>
            <w:vAlign w:val="center"/>
          </w:tcPr>
          <w:p>
            <w:pPr>
              <w:spacing w:line="320" w:lineRule="exact"/>
              <w:ind w:left="43"/>
              <w:contextualSpacing/>
              <w:jc w:val="left"/>
              <w:rPr>
                <w:rFonts w:hint="eastAsia"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217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sz w:val="18"/>
                <w:szCs w:val="18"/>
              </w:rPr>
            </w:pPr>
            <w:r>
              <w:rPr>
                <w:rFonts w:hint="eastAsia" w:ascii="宋体" w:hAnsi="宋体"/>
                <w:sz w:val="18"/>
                <w:szCs w:val="18"/>
              </w:rPr>
              <w:t>能力或业绩</w:t>
            </w:r>
          </w:p>
          <w:p>
            <w:pPr>
              <w:spacing w:line="320" w:lineRule="exact"/>
              <w:jc w:val="left"/>
              <w:rPr>
                <w:rFonts w:hint="eastAsia" w:ascii="宋体" w:hAnsi="宋体"/>
                <w:sz w:val="18"/>
                <w:szCs w:val="18"/>
              </w:rPr>
            </w:pPr>
            <w:r>
              <w:rPr>
                <w:rFonts w:hint="eastAsia" w:ascii="宋体" w:hAnsi="宋体"/>
                <w:sz w:val="18"/>
                <w:szCs w:val="18"/>
              </w:rPr>
              <w:t>要  求</w:t>
            </w:r>
          </w:p>
        </w:tc>
        <w:tc>
          <w:tcPr>
            <w:tcW w:w="2665" w:type="dxa"/>
            <w:tcBorders>
              <w:top w:val="single" w:color="auto" w:sz="4" w:space="0"/>
              <w:left w:val="single" w:color="auto" w:sz="4" w:space="0"/>
              <w:bottom w:val="single" w:color="auto" w:sz="4" w:space="0"/>
              <w:right w:val="single" w:color="auto" w:sz="4" w:space="0"/>
            </w:tcBorders>
            <w:vAlign w:val="center"/>
          </w:tcPr>
          <w:p>
            <w:pPr>
              <w:spacing w:line="320" w:lineRule="exact"/>
              <w:contextualSpacing/>
              <w:jc w:val="left"/>
              <w:rPr>
                <w:rFonts w:hint="eastAsia" w:ascii="宋体" w:hAnsi="宋体" w:cs="仿宋_GB2312"/>
                <w:sz w:val="18"/>
                <w:szCs w:val="18"/>
              </w:rPr>
            </w:pPr>
          </w:p>
        </w:tc>
        <w:tc>
          <w:tcPr>
            <w:tcW w:w="2347" w:type="dxa"/>
            <w:tcBorders>
              <w:top w:val="single" w:color="auto" w:sz="4" w:space="0"/>
              <w:left w:val="single" w:color="auto" w:sz="4" w:space="0"/>
              <w:bottom w:val="single" w:color="auto" w:sz="4" w:space="0"/>
              <w:right w:val="single" w:color="auto" w:sz="4" w:space="0"/>
            </w:tcBorders>
            <w:vAlign w:val="center"/>
          </w:tcPr>
          <w:p>
            <w:pPr>
              <w:spacing w:line="320" w:lineRule="exact"/>
              <w:ind w:left="43"/>
              <w:contextualSpacing/>
              <w:jc w:val="left"/>
              <w:rPr>
                <w:rFonts w:hint="eastAsia" w:ascii="宋体" w:hAnsi="宋体" w:cs="仿宋_GB2312"/>
                <w:sz w:val="18"/>
                <w:szCs w:val="18"/>
              </w:rPr>
            </w:pPr>
          </w:p>
        </w:tc>
        <w:tc>
          <w:tcPr>
            <w:tcW w:w="2110" w:type="dxa"/>
            <w:tcBorders>
              <w:top w:val="single" w:color="auto" w:sz="4" w:space="0"/>
              <w:left w:val="single" w:color="auto" w:sz="4" w:space="0"/>
              <w:bottom w:val="single" w:color="auto" w:sz="4" w:space="0"/>
              <w:right w:val="single" w:color="auto" w:sz="4" w:space="0"/>
            </w:tcBorders>
            <w:vAlign w:val="center"/>
          </w:tcPr>
          <w:p>
            <w:pPr>
              <w:spacing w:line="320" w:lineRule="exact"/>
              <w:ind w:left="43"/>
              <w:contextualSpacing/>
              <w:jc w:val="left"/>
              <w:rPr>
                <w:rFonts w:hint="eastAsia"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17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sz w:val="18"/>
                <w:szCs w:val="18"/>
              </w:rPr>
            </w:pPr>
            <w:r>
              <w:rPr>
                <w:rFonts w:hint="eastAsia" w:ascii="宋体" w:hAnsi="宋体"/>
                <w:sz w:val="18"/>
                <w:szCs w:val="18"/>
              </w:rPr>
              <w:t>规范标准</w:t>
            </w:r>
          </w:p>
        </w:tc>
        <w:tc>
          <w:tcPr>
            <w:tcW w:w="2665" w:type="dxa"/>
            <w:tcBorders>
              <w:top w:val="single" w:color="auto" w:sz="4" w:space="0"/>
              <w:left w:val="single" w:color="auto" w:sz="4" w:space="0"/>
              <w:bottom w:val="single" w:color="auto" w:sz="4" w:space="0"/>
              <w:right w:val="single" w:color="auto" w:sz="4" w:space="0"/>
            </w:tcBorders>
            <w:vAlign w:val="center"/>
          </w:tcPr>
          <w:p>
            <w:pPr>
              <w:spacing w:line="320" w:lineRule="exact"/>
              <w:contextualSpacing/>
              <w:jc w:val="left"/>
              <w:rPr>
                <w:rFonts w:hint="eastAsia" w:ascii="宋体" w:hAnsi="宋体" w:cs="仿宋_GB2312"/>
                <w:sz w:val="18"/>
                <w:szCs w:val="18"/>
              </w:rPr>
            </w:pPr>
          </w:p>
        </w:tc>
        <w:tc>
          <w:tcPr>
            <w:tcW w:w="2347" w:type="dxa"/>
            <w:tcBorders>
              <w:top w:val="single" w:color="auto" w:sz="4" w:space="0"/>
              <w:left w:val="single" w:color="auto" w:sz="4" w:space="0"/>
              <w:bottom w:val="single" w:color="auto" w:sz="4" w:space="0"/>
              <w:right w:val="single" w:color="auto" w:sz="4" w:space="0"/>
            </w:tcBorders>
            <w:vAlign w:val="center"/>
          </w:tcPr>
          <w:p>
            <w:pPr>
              <w:spacing w:line="320" w:lineRule="exact"/>
              <w:ind w:left="43"/>
              <w:contextualSpacing/>
              <w:jc w:val="left"/>
              <w:rPr>
                <w:rFonts w:hint="eastAsia" w:ascii="宋体" w:hAnsi="宋体" w:cs="仿宋_GB2312"/>
                <w:sz w:val="18"/>
                <w:szCs w:val="18"/>
              </w:rPr>
            </w:pPr>
          </w:p>
        </w:tc>
        <w:tc>
          <w:tcPr>
            <w:tcW w:w="2110" w:type="dxa"/>
            <w:tcBorders>
              <w:top w:val="single" w:color="auto" w:sz="4" w:space="0"/>
              <w:left w:val="single" w:color="auto" w:sz="4" w:space="0"/>
              <w:bottom w:val="single" w:color="auto" w:sz="4" w:space="0"/>
              <w:right w:val="single" w:color="auto" w:sz="4" w:space="0"/>
            </w:tcBorders>
            <w:vAlign w:val="center"/>
          </w:tcPr>
          <w:p>
            <w:pPr>
              <w:spacing w:line="320" w:lineRule="exact"/>
              <w:ind w:left="43"/>
              <w:contextualSpacing/>
              <w:jc w:val="left"/>
              <w:rPr>
                <w:rFonts w:hint="eastAsia"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217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sz w:val="18"/>
                <w:szCs w:val="18"/>
              </w:rPr>
            </w:pPr>
            <w:r>
              <w:rPr>
                <w:rFonts w:hint="eastAsia" w:ascii="宋体" w:hAnsi="宋体"/>
                <w:sz w:val="18"/>
                <w:szCs w:val="18"/>
              </w:rPr>
              <w:t>验收标准、验收方法及方案</w:t>
            </w:r>
          </w:p>
        </w:tc>
        <w:tc>
          <w:tcPr>
            <w:tcW w:w="2665" w:type="dxa"/>
            <w:tcBorders>
              <w:top w:val="single" w:color="auto" w:sz="4" w:space="0"/>
              <w:left w:val="single" w:color="auto" w:sz="4" w:space="0"/>
              <w:bottom w:val="single" w:color="auto" w:sz="4" w:space="0"/>
              <w:right w:val="single" w:color="auto" w:sz="4" w:space="0"/>
            </w:tcBorders>
            <w:vAlign w:val="center"/>
          </w:tcPr>
          <w:p>
            <w:pPr>
              <w:spacing w:line="320" w:lineRule="exact"/>
              <w:contextualSpacing/>
              <w:jc w:val="left"/>
              <w:rPr>
                <w:rFonts w:hint="eastAsia" w:ascii="宋体" w:hAnsi="宋体" w:cs="仿宋_GB2312"/>
                <w:sz w:val="18"/>
                <w:szCs w:val="18"/>
              </w:rPr>
            </w:pPr>
          </w:p>
        </w:tc>
        <w:tc>
          <w:tcPr>
            <w:tcW w:w="2347" w:type="dxa"/>
            <w:tcBorders>
              <w:top w:val="single" w:color="auto" w:sz="4" w:space="0"/>
              <w:left w:val="single" w:color="auto" w:sz="4" w:space="0"/>
              <w:bottom w:val="single" w:color="auto" w:sz="4" w:space="0"/>
              <w:right w:val="single" w:color="auto" w:sz="4" w:space="0"/>
            </w:tcBorders>
            <w:vAlign w:val="center"/>
          </w:tcPr>
          <w:p>
            <w:pPr>
              <w:spacing w:line="320" w:lineRule="exact"/>
              <w:ind w:left="43"/>
              <w:contextualSpacing/>
              <w:jc w:val="left"/>
              <w:rPr>
                <w:rFonts w:hint="eastAsia" w:ascii="宋体" w:hAnsi="宋体" w:cs="仿宋_GB2312"/>
                <w:sz w:val="18"/>
                <w:szCs w:val="18"/>
              </w:rPr>
            </w:pPr>
          </w:p>
        </w:tc>
        <w:tc>
          <w:tcPr>
            <w:tcW w:w="2110" w:type="dxa"/>
            <w:tcBorders>
              <w:top w:val="single" w:color="auto" w:sz="4" w:space="0"/>
              <w:left w:val="single" w:color="auto" w:sz="4" w:space="0"/>
              <w:bottom w:val="single" w:color="auto" w:sz="4" w:space="0"/>
              <w:right w:val="single" w:color="auto" w:sz="4" w:space="0"/>
            </w:tcBorders>
            <w:vAlign w:val="center"/>
          </w:tcPr>
          <w:p>
            <w:pPr>
              <w:spacing w:line="320" w:lineRule="exact"/>
              <w:ind w:left="43"/>
              <w:contextualSpacing/>
              <w:jc w:val="left"/>
              <w:rPr>
                <w:rFonts w:hint="eastAsia"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7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sz w:val="18"/>
                <w:szCs w:val="18"/>
              </w:rPr>
            </w:pPr>
            <w:r>
              <w:rPr>
                <w:rFonts w:hint="eastAsia" w:ascii="宋体" w:hAnsi="宋体"/>
                <w:sz w:val="18"/>
                <w:szCs w:val="18"/>
              </w:rPr>
              <w:t>供应商服务团队及工作要求：</w:t>
            </w:r>
          </w:p>
        </w:tc>
        <w:tc>
          <w:tcPr>
            <w:tcW w:w="2665" w:type="dxa"/>
            <w:tcBorders>
              <w:top w:val="single" w:color="auto" w:sz="4" w:space="0"/>
              <w:left w:val="single" w:color="auto" w:sz="4" w:space="0"/>
              <w:bottom w:val="single" w:color="auto" w:sz="4" w:space="0"/>
              <w:right w:val="single" w:color="auto" w:sz="4" w:space="0"/>
            </w:tcBorders>
            <w:vAlign w:val="center"/>
          </w:tcPr>
          <w:p>
            <w:pPr>
              <w:spacing w:line="320" w:lineRule="exact"/>
              <w:contextualSpacing/>
              <w:jc w:val="left"/>
              <w:rPr>
                <w:rFonts w:hint="eastAsia" w:ascii="宋体" w:hAnsi="宋体" w:cs="仿宋_GB2312"/>
                <w:sz w:val="18"/>
                <w:szCs w:val="18"/>
              </w:rPr>
            </w:pPr>
          </w:p>
        </w:tc>
        <w:tc>
          <w:tcPr>
            <w:tcW w:w="2347" w:type="dxa"/>
            <w:tcBorders>
              <w:top w:val="single" w:color="auto" w:sz="4" w:space="0"/>
              <w:left w:val="single" w:color="auto" w:sz="4" w:space="0"/>
              <w:bottom w:val="single" w:color="auto" w:sz="4" w:space="0"/>
              <w:right w:val="single" w:color="auto" w:sz="4" w:space="0"/>
            </w:tcBorders>
            <w:vAlign w:val="center"/>
          </w:tcPr>
          <w:p>
            <w:pPr>
              <w:spacing w:line="320" w:lineRule="exact"/>
              <w:ind w:left="43"/>
              <w:contextualSpacing/>
              <w:jc w:val="left"/>
              <w:rPr>
                <w:rFonts w:hint="eastAsia" w:ascii="宋体" w:hAnsi="宋体" w:cs="仿宋_GB2312"/>
                <w:sz w:val="18"/>
                <w:szCs w:val="18"/>
              </w:rPr>
            </w:pPr>
          </w:p>
        </w:tc>
        <w:tc>
          <w:tcPr>
            <w:tcW w:w="2110" w:type="dxa"/>
            <w:tcBorders>
              <w:top w:val="single" w:color="auto" w:sz="4" w:space="0"/>
              <w:left w:val="single" w:color="auto" w:sz="4" w:space="0"/>
              <w:bottom w:val="single" w:color="auto" w:sz="4" w:space="0"/>
              <w:right w:val="single" w:color="auto" w:sz="4" w:space="0"/>
            </w:tcBorders>
            <w:vAlign w:val="center"/>
          </w:tcPr>
          <w:p>
            <w:pPr>
              <w:spacing w:line="320" w:lineRule="exact"/>
              <w:ind w:left="43"/>
              <w:contextualSpacing/>
              <w:jc w:val="left"/>
              <w:rPr>
                <w:rFonts w:hint="eastAsia" w:ascii="宋体" w:hAnsi="宋体" w:cs="仿宋_GB2312"/>
                <w:sz w:val="18"/>
                <w:szCs w:val="18"/>
              </w:rPr>
            </w:pPr>
          </w:p>
        </w:tc>
      </w:tr>
    </w:tbl>
    <w:p>
      <w:pPr>
        <w:pStyle w:val="12"/>
        <w:spacing w:after="0" w:line="360" w:lineRule="auto"/>
        <w:contextualSpacing/>
        <w:rPr>
          <w:rFonts w:hint="eastAsia" w:ascii="宋体" w:hAnsi="宋体"/>
          <w:kern w:val="0"/>
          <w:sz w:val="24"/>
          <w:szCs w:val="24"/>
        </w:rPr>
      </w:pPr>
      <w:r>
        <w:rPr>
          <w:rFonts w:hint="eastAsia" w:ascii="宋体" w:hAnsi="宋体"/>
          <w:kern w:val="0"/>
          <w:sz w:val="24"/>
          <w:szCs w:val="24"/>
        </w:rPr>
        <w:t>注：</w:t>
      </w:r>
    </w:p>
    <w:p>
      <w:pPr>
        <w:pStyle w:val="12"/>
        <w:spacing w:line="360" w:lineRule="auto"/>
        <w:contextualSpacing/>
        <w:rPr>
          <w:rFonts w:hint="eastAsia" w:ascii="宋体" w:hAnsi="宋体"/>
          <w:kern w:val="0"/>
          <w:sz w:val="24"/>
          <w:szCs w:val="24"/>
        </w:rPr>
      </w:pPr>
      <w:r>
        <w:rPr>
          <w:rFonts w:hint="eastAsia" w:ascii="宋体" w:hAnsi="宋体"/>
          <w:kern w:val="0"/>
          <w:sz w:val="24"/>
          <w:szCs w:val="24"/>
        </w:rPr>
        <w:t>1. 说明：应对照采购文件“第三章 采购需求”中的“一、商务要求”、“二、与实现项目目标相关的其他要求”逐条作出明确响应，并作出偏离说明。</w:t>
      </w:r>
    </w:p>
    <w:p>
      <w:pPr>
        <w:spacing w:line="360" w:lineRule="auto"/>
        <w:contextualSpacing/>
        <w:jc w:val="left"/>
        <w:rPr>
          <w:rFonts w:hint="eastAsia" w:ascii="宋体" w:hAnsi="宋体" w:cs="仿宋_GB2312"/>
          <w:sz w:val="24"/>
          <w:u w:val="single"/>
        </w:rPr>
      </w:pPr>
      <w:r>
        <w:rPr>
          <w:rFonts w:hint="eastAsia" w:ascii="宋体" w:hAnsi="宋体"/>
          <w:kern w:val="0"/>
          <w:sz w:val="24"/>
        </w:rPr>
        <w:t>2.供应商应根据自身的承诺，对照采购文件要求在“偏离说明”中注明“正偏离”、“负偏离”或者“无偏离”。既不属于“正偏离”也不属于“负偏离”即为“无偏离”。</w:t>
      </w:r>
    </w:p>
    <w:p>
      <w:pPr>
        <w:spacing w:line="360" w:lineRule="auto"/>
        <w:ind w:right="-817" w:rightChars="-389"/>
        <w:contextualSpacing/>
        <w:rPr>
          <w:rFonts w:hint="eastAsia" w:ascii="宋体" w:hAnsi="宋体" w:cs="仿宋_GB2312"/>
          <w:sz w:val="24"/>
        </w:rPr>
      </w:pPr>
    </w:p>
    <w:p>
      <w:pPr>
        <w:spacing w:line="360" w:lineRule="auto"/>
        <w:ind w:right="-817" w:rightChars="-389"/>
        <w:contextualSpacing/>
        <w:jc w:val="center"/>
        <w:rPr>
          <w:rFonts w:hint="eastAsia" w:ascii="宋体" w:hAnsi="宋体" w:cs="仿宋_GB2312"/>
          <w:sz w:val="24"/>
        </w:rPr>
      </w:pPr>
    </w:p>
    <w:p>
      <w:pPr>
        <w:spacing w:line="360" w:lineRule="auto"/>
        <w:ind w:right="-817" w:rightChars="-389"/>
        <w:contextualSpacing/>
        <w:jc w:val="center"/>
        <w:rPr>
          <w:rFonts w:hint="eastAsia" w:ascii="宋体" w:hAnsi="宋体" w:cs="仿宋_GB2312"/>
          <w:sz w:val="24"/>
        </w:rPr>
      </w:pPr>
      <w:r>
        <w:rPr>
          <w:rFonts w:hint="eastAsia" w:ascii="宋体" w:hAnsi="宋体" w:cs="仿宋_GB2312"/>
          <w:sz w:val="24"/>
        </w:rPr>
        <w:t>法定代表人或者委托代理人（签字）：</w:t>
      </w:r>
    </w:p>
    <w:p>
      <w:pPr>
        <w:spacing w:line="360" w:lineRule="auto"/>
        <w:ind w:right="-817" w:rightChars="-389" w:firstLine="3120" w:firstLineChars="1300"/>
        <w:contextualSpacing/>
        <w:rPr>
          <w:rFonts w:hint="eastAsia" w:ascii="宋体" w:hAnsi="宋体" w:cs="仿宋_GB2312"/>
          <w:sz w:val="24"/>
        </w:rPr>
      </w:pPr>
      <w:r>
        <w:rPr>
          <w:rFonts w:hint="eastAsia" w:ascii="宋体" w:hAnsi="宋体" w:cs="仿宋_GB2312"/>
          <w:sz w:val="24"/>
        </w:rPr>
        <w:t xml:space="preserve">供应商（盖章）：      </w:t>
      </w:r>
    </w:p>
    <w:p>
      <w:pPr>
        <w:spacing w:line="360" w:lineRule="auto"/>
        <w:ind w:right="-817" w:rightChars="-389" w:firstLine="4080" w:firstLineChars="1700"/>
        <w:contextualSpacing/>
        <w:rPr>
          <w:rFonts w:hint="eastAsia" w:ascii="宋体" w:hAnsi="宋体" w:cs="仿宋_GB2312"/>
          <w:sz w:val="24"/>
        </w:rPr>
      </w:pPr>
    </w:p>
    <w:p>
      <w:pPr>
        <w:spacing w:line="360" w:lineRule="auto"/>
        <w:ind w:right="-817" w:rightChars="-389" w:firstLine="4320" w:firstLineChars="1800"/>
        <w:contextualSpacing/>
        <w:rPr>
          <w:rFonts w:hint="eastAsia" w:ascii="方正小标宋简体" w:hAnsi="方正小标宋简体" w:eastAsia="方正小标宋简体" w:cs="方正小标宋简体"/>
          <w:bCs/>
          <w:sz w:val="44"/>
          <w:szCs w:val="44"/>
        </w:rPr>
      </w:pPr>
      <w:r>
        <w:rPr>
          <w:rFonts w:hint="eastAsia" w:ascii="宋体" w:hAnsi="宋体" w:cs="仿宋_GB2312"/>
          <w:sz w:val="24"/>
        </w:rPr>
        <w:t>日期：   年   月   日</w:t>
      </w:r>
    </w:p>
    <w:p>
      <w:pPr>
        <w:adjustRightInd w:val="0"/>
        <w:snapToGrid w:val="0"/>
        <w:spacing w:line="520" w:lineRule="exact"/>
        <w:rPr>
          <w:rFonts w:hint="eastAsia" w:ascii="宋体" w:hAnsi="宋体"/>
          <w:szCs w:val="21"/>
          <w:u w:val="single"/>
        </w:rPr>
      </w:pPr>
    </w:p>
    <w:p>
      <w:pPr>
        <w:adjustRightInd w:val="0"/>
        <w:snapToGrid w:val="0"/>
        <w:spacing w:line="300" w:lineRule="auto"/>
        <w:jc w:val="center"/>
        <w:rPr>
          <w:rFonts w:hint="eastAsia"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br w:type="page"/>
      </w:r>
      <w:r>
        <w:rPr>
          <w:rFonts w:hint="eastAsia" w:ascii="方正小标宋简体" w:hAnsi="方正小标宋简体" w:eastAsia="方正小标宋简体" w:cs="方正小标宋简体"/>
          <w:bCs/>
          <w:sz w:val="44"/>
          <w:szCs w:val="44"/>
        </w:rPr>
        <w:t>技术要求偏离表</w:t>
      </w:r>
    </w:p>
    <w:p>
      <w:pPr>
        <w:spacing w:line="520" w:lineRule="exact"/>
        <w:rPr>
          <w:rFonts w:hint="eastAsia" w:ascii="仿宋_GB2312" w:hAnsi="仿宋_GB2312" w:eastAsia="仿宋_GB2312" w:cs="仿宋_GB2312"/>
          <w:sz w:val="32"/>
          <w:szCs w:val="32"/>
        </w:rPr>
      </w:pPr>
    </w:p>
    <w:p>
      <w:pPr>
        <w:spacing w:line="360" w:lineRule="auto"/>
        <w:contextualSpacing/>
        <w:rPr>
          <w:rFonts w:hint="eastAsia" w:ascii="宋体" w:hAnsi="宋体" w:cs="仿宋_GB2312"/>
          <w:sz w:val="24"/>
          <w:u w:val="single"/>
        </w:rPr>
      </w:pPr>
      <w:r>
        <w:rPr>
          <w:rFonts w:hint="eastAsia" w:ascii="宋体" w:hAnsi="宋体" w:cs="仿宋_GB2312"/>
          <w:sz w:val="24"/>
        </w:rPr>
        <w:t>采购项目名称：</w:t>
      </w:r>
      <w:r>
        <w:rPr>
          <w:rFonts w:hint="eastAsia" w:ascii="宋体" w:hAnsi="宋体" w:cs="仿宋_GB2312"/>
          <w:sz w:val="24"/>
          <w:u w:val="single"/>
        </w:rPr>
        <w:t xml:space="preserve">                 </w:t>
      </w:r>
    </w:p>
    <w:p>
      <w:pPr>
        <w:pStyle w:val="54"/>
        <w:rPr>
          <w:rFonts w:hint="eastAsia"/>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215"/>
        <w:gridCol w:w="3345"/>
        <w:gridCol w:w="279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pPr>
              <w:pStyle w:val="15"/>
              <w:spacing w:line="360" w:lineRule="auto"/>
              <w:ind w:firstLine="0" w:firstLineChars="0"/>
              <w:contextualSpacing/>
              <w:jc w:val="center"/>
              <w:rPr>
                <w:rFonts w:hint="eastAsia" w:ascii="宋体" w:hAnsi="宋体" w:cs="仿宋_GB2312"/>
                <w:sz w:val="18"/>
                <w:szCs w:val="18"/>
                <w:u w:val="single"/>
              </w:rPr>
            </w:pPr>
            <w:r>
              <w:rPr>
                <w:rFonts w:hint="eastAsia" w:ascii="宋体" w:hAnsi="宋体" w:eastAsia="宋体" w:cs="仿宋_GB2312"/>
                <w:kern w:val="2"/>
                <w:sz w:val="18"/>
                <w:szCs w:val="18"/>
              </w:rPr>
              <w:t>序号</w:t>
            </w:r>
          </w:p>
        </w:tc>
        <w:tc>
          <w:tcPr>
            <w:tcW w:w="1215" w:type="dxa"/>
            <w:vAlign w:val="center"/>
          </w:tcPr>
          <w:p>
            <w:pPr>
              <w:pStyle w:val="15"/>
              <w:spacing w:line="360" w:lineRule="auto"/>
              <w:ind w:firstLine="0" w:firstLineChars="0"/>
              <w:contextualSpacing/>
              <w:jc w:val="center"/>
              <w:rPr>
                <w:rFonts w:hint="eastAsia" w:ascii="宋体" w:hAnsi="宋体" w:cs="仿宋_GB2312"/>
                <w:sz w:val="18"/>
                <w:szCs w:val="18"/>
                <w:u w:val="single"/>
              </w:rPr>
            </w:pPr>
            <w:r>
              <w:rPr>
                <w:rFonts w:hint="eastAsia" w:ascii="宋体" w:hAnsi="宋体" w:eastAsia="宋体" w:cs="仿宋_GB2312"/>
                <w:kern w:val="2"/>
                <w:sz w:val="18"/>
                <w:szCs w:val="18"/>
              </w:rPr>
              <w:t>标的（服务）名称</w:t>
            </w:r>
          </w:p>
        </w:tc>
        <w:tc>
          <w:tcPr>
            <w:tcW w:w="3345" w:type="dxa"/>
            <w:vAlign w:val="center"/>
          </w:tcPr>
          <w:p>
            <w:pPr>
              <w:pStyle w:val="15"/>
              <w:spacing w:line="360" w:lineRule="auto"/>
              <w:ind w:firstLine="0" w:firstLineChars="0"/>
              <w:contextualSpacing/>
              <w:jc w:val="center"/>
              <w:rPr>
                <w:rFonts w:hint="eastAsia" w:ascii="宋体" w:hAnsi="宋体" w:cs="仿宋_GB2312"/>
                <w:sz w:val="18"/>
                <w:szCs w:val="18"/>
                <w:u w:val="single"/>
              </w:rPr>
            </w:pPr>
            <w:r>
              <w:rPr>
                <w:rFonts w:hint="eastAsia" w:ascii="宋体" w:hAnsi="宋体" w:eastAsia="宋体" w:cs="仿宋_GB2312"/>
                <w:kern w:val="2"/>
                <w:sz w:val="18"/>
                <w:szCs w:val="18"/>
              </w:rPr>
              <w:t>采购文件技术要求</w:t>
            </w:r>
          </w:p>
        </w:tc>
        <w:tc>
          <w:tcPr>
            <w:tcW w:w="2790" w:type="dxa"/>
            <w:vAlign w:val="center"/>
          </w:tcPr>
          <w:p>
            <w:pPr>
              <w:pStyle w:val="15"/>
              <w:spacing w:line="360" w:lineRule="auto"/>
              <w:ind w:firstLine="0" w:firstLineChars="0"/>
              <w:contextualSpacing/>
              <w:jc w:val="center"/>
              <w:rPr>
                <w:rFonts w:hint="eastAsia" w:ascii="宋体" w:hAnsi="宋体" w:cs="仿宋_GB2312"/>
                <w:sz w:val="18"/>
                <w:szCs w:val="18"/>
                <w:u w:val="single"/>
              </w:rPr>
            </w:pPr>
            <w:r>
              <w:rPr>
                <w:rFonts w:hint="eastAsia" w:ascii="宋体" w:hAnsi="宋体" w:eastAsia="宋体" w:cs="仿宋_GB2312"/>
                <w:kern w:val="2"/>
                <w:sz w:val="18"/>
                <w:szCs w:val="18"/>
              </w:rPr>
              <w:t>竞标响应</w:t>
            </w:r>
          </w:p>
        </w:tc>
        <w:tc>
          <w:tcPr>
            <w:tcW w:w="1065" w:type="dxa"/>
            <w:vAlign w:val="center"/>
          </w:tcPr>
          <w:p>
            <w:pPr>
              <w:pStyle w:val="15"/>
              <w:spacing w:line="360" w:lineRule="auto"/>
              <w:ind w:firstLine="0" w:firstLineChars="0"/>
              <w:contextualSpacing/>
              <w:jc w:val="center"/>
              <w:rPr>
                <w:rFonts w:hint="eastAsia" w:ascii="宋体" w:hAnsi="宋体" w:cs="仿宋_GB2312"/>
                <w:sz w:val="18"/>
                <w:szCs w:val="18"/>
                <w:u w:val="single"/>
              </w:rPr>
            </w:pPr>
            <w:r>
              <w:rPr>
                <w:rFonts w:hint="eastAsia" w:ascii="宋体" w:hAnsi="宋体" w:eastAsia="宋体" w:cs="仿宋_GB2312"/>
                <w:kern w:val="2"/>
                <w:sz w:val="18"/>
                <w:szCs w:val="1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pPr>
              <w:pStyle w:val="13"/>
              <w:rPr>
                <w:rFonts w:hint="eastAsia" w:ascii="宋体" w:hAnsi="宋体" w:cs="仿宋_GB2312"/>
                <w:sz w:val="24"/>
                <w:u w:val="single"/>
              </w:rPr>
            </w:pPr>
            <w:r>
              <w:rPr>
                <w:rFonts w:hint="eastAsia" w:ascii="宋体" w:hAnsi="宋体" w:cs="仿宋_GB2312"/>
                <w:sz w:val="24"/>
                <w:u w:val="single"/>
              </w:rPr>
              <w:t>1</w:t>
            </w:r>
          </w:p>
        </w:tc>
        <w:tc>
          <w:tcPr>
            <w:tcW w:w="1215" w:type="dxa"/>
          </w:tcPr>
          <w:p>
            <w:pPr>
              <w:pStyle w:val="13"/>
              <w:rPr>
                <w:rFonts w:hint="eastAsia" w:ascii="宋体" w:hAnsi="宋体" w:cs="仿宋_GB2312"/>
                <w:sz w:val="18"/>
                <w:szCs w:val="18"/>
                <w:u w:val="single"/>
              </w:rPr>
            </w:pPr>
          </w:p>
        </w:tc>
        <w:tc>
          <w:tcPr>
            <w:tcW w:w="3345" w:type="dxa"/>
          </w:tcPr>
          <w:p>
            <w:pPr>
              <w:pStyle w:val="13"/>
              <w:rPr>
                <w:rFonts w:hint="eastAsia" w:ascii="宋体" w:hAnsi="宋体" w:cs="仿宋_GB2312"/>
                <w:sz w:val="18"/>
                <w:szCs w:val="18"/>
                <w:u w:val="single"/>
              </w:rPr>
            </w:pPr>
          </w:p>
        </w:tc>
        <w:tc>
          <w:tcPr>
            <w:tcW w:w="2790" w:type="dxa"/>
          </w:tcPr>
          <w:p>
            <w:pPr>
              <w:pStyle w:val="13"/>
              <w:rPr>
                <w:rFonts w:hint="eastAsia" w:ascii="宋体" w:hAnsi="宋体" w:cs="仿宋_GB2312"/>
                <w:sz w:val="24"/>
                <w:u w:val="single"/>
              </w:rPr>
            </w:pPr>
          </w:p>
        </w:tc>
        <w:tc>
          <w:tcPr>
            <w:tcW w:w="1065" w:type="dxa"/>
          </w:tcPr>
          <w:p>
            <w:pPr>
              <w:pStyle w:val="13"/>
              <w:rPr>
                <w:rFonts w:hint="eastAsia" w:ascii="宋体" w:hAnsi="宋体" w:cs="仿宋_GB2312"/>
                <w:sz w:val="24"/>
                <w:u w:val="single"/>
              </w:rPr>
            </w:pPr>
          </w:p>
        </w:tc>
      </w:tr>
    </w:tbl>
    <w:p>
      <w:pPr>
        <w:pStyle w:val="13"/>
        <w:rPr>
          <w:rFonts w:hint="eastAsia" w:ascii="宋体" w:hAnsi="宋体" w:cs="仿宋_GB2312"/>
          <w:sz w:val="24"/>
          <w:u w:val="single"/>
        </w:rPr>
      </w:pPr>
    </w:p>
    <w:p>
      <w:pPr>
        <w:pStyle w:val="15"/>
        <w:spacing w:line="360" w:lineRule="auto"/>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注：</w:t>
      </w:r>
    </w:p>
    <w:p>
      <w:pPr>
        <w:pStyle w:val="15"/>
        <w:spacing w:line="360" w:lineRule="auto"/>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1. 说明：应对照采购文件“第三章 采购需求”中的“服务内容及要求”逐条作出明确响应，并作出偏离说明。</w:t>
      </w:r>
    </w:p>
    <w:p>
      <w:pPr>
        <w:pStyle w:val="15"/>
        <w:spacing w:line="360" w:lineRule="auto"/>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2.供应商应根据自身的承诺，对照采购文件要求，在“偏离说明”中注明“正偏离”、“负偏离”或者“无偏离”。既不属于“正偏离”也不属于“负偏离”即为“无偏离”。</w:t>
      </w:r>
    </w:p>
    <w:p>
      <w:pPr>
        <w:spacing w:line="360" w:lineRule="auto"/>
        <w:ind w:right="-817" w:rightChars="-389"/>
        <w:contextualSpacing/>
        <w:rPr>
          <w:rFonts w:hint="eastAsia" w:ascii="宋体" w:hAnsi="宋体" w:cs="仿宋_GB2312"/>
          <w:sz w:val="24"/>
        </w:rPr>
      </w:pPr>
    </w:p>
    <w:p>
      <w:pPr>
        <w:spacing w:line="360" w:lineRule="auto"/>
        <w:ind w:right="-817" w:rightChars="-389"/>
        <w:contextualSpacing/>
        <w:jc w:val="center"/>
        <w:rPr>
          <w:rFonts w:hint="eastAsia" w:ascii="宋体" w:hAnsi="宋体" w:cs="仿宋_GB2312"/>
          <w:sz w:val="24"/>
        </w:rPr>
      </w:pPr>
      <w:r>
        <w:rPr>
          <w:rFonts w:hint="eastAsia" w:ascii="宋体" w:hAnsi="宋体" w:cs="仿宋_GB2312"/>
          <w:sz w:val="24"/>
        </w:rPr>
        <w:t>法定代表人或者委托代理人（签字）：</w:t>
      </w:r>
    </w:p>
    <w:p>
      <w:pPr>
        <w:spacing w:line="360" w:lineRule="auto"/>
        <w:ind w:right="-817" w:rightChars="-389" w:firstLine="2640" w:firstLineChars="1100"/>
        <w:contextualSpacing/>
        <w:rPr>
          <w:rFonts w:hint="eastAsia" w:ascii="宋体" w:hAnsi="宋体" w:cs="仿宋_GB2312"/>
          <w:sz w:val="24"/>
        </w:rPr>
      </w:pPr>
      <w:r>
        <w:rPr>
          <w:rFonts w:hint="eastAsia" w:ascii="宋体" w:hAnsi="宋体" w:cs="仿宋_GB2312"/>
          <w:sz w:val="24"/>
        </w:rPr>
        <w:t xml:space="preserve">供应商（盖章）：      </w:t>
      </w:r>
    </w:p>
    <w:p>
      <w:pPr>
        <w:spacing w:line="360" w:lineRule="auto"/>
        <w:ind w:right="-817" w:rightChars="-389" w:firstLine="4080" w:firstLineChars="1700"/>
        <w:contextualSpacing/>
        <w:rPr>
          <w:rFonts w:ascii="宋体" w:hAnsi="宋体" w:cs="仿宋_GB2312"/>
          <w:sz w:val="24"/>
        </w:rPr>
      </w:pPr>
      <w:r>
        <w:rPr>
          <w:rFonts w:hint="eastAsia" w:ascii="宋体" w:hAnsi="宋体" w:cs="仿宋_GB2312"/>
          <w:sz w:val="24"/>
        </w:rPr>
        <w:t>日期：   年   月   日</w:t>
      </w:r>
    </w:p>
    <w:p>
      <w:pPr>
        <w:snapToGrid w:val="0"/>
        <w:spacing w:before="120" w:beforeLines="50" w:after="50"/>
        <w:ind w:left="142"/>
        <w:jc w:val="left"/>
        <w:rPr>
          <w:rFonts w:hint="eastAsia" w:ascii="宋体" w:hAnsi="宋体"/>
          <w:b/>
          <w:sz w:val="24"/>
        </w:rPr>
      </w:pPr>
      <w:r>
        <w:rPr>
          <w:rFonts w:ascii="宋体" w:hAnsi="宋体" w:cs="仿宋_GB2312"/>
          <w:sz w:val="24"/>
        </w:rPr>
        <w:br w:type="page"/>
      </w:r>
      <w:r>
        <w:rPr>
          <w:rFonts w:hint="eastAsia" w:ascii="宋体" w:hAnsi="宋体"/>
          <w:b/>
          <w:sz w:val="24"/>
        </w:rPr>
        <w:t>项目实施人员一览表格式</w:t>
      </w:r>
    </w:p>
    <w:p>
      <w:pPr>
        <w:snapToGrid w:val="0"/>
        <w:spacing w:before="120" w:beforeLines="50" w:after="50"/>
        <w:ind w:left="142"/>
        <w:jc w:val="left"/>
        <w:rPr>
          <w:rFonts w:hint="eastAsia" w:ascii="宋体" w:hAnsi="宋体"/>
          <w:b/>
          <w:sz w:val="24"/>
        </w:rPr>
      </w:pPr>
    </w:p>
    <w:p>
      <w:pPr>
        <w:spacing w:line="360" w:lineRule="auto"/>
        <w:ind w:left="142"/>
        <w:contextualSpacing/>
        <w:jc w:val="center"/>
        <w:rPr>
          <w:rFonts w:hint="eastAsia" w:ascii="宋体" w:hAnsi="宋体"/>
          <w:b/>
          <w:sz w:val="32"/>
          <w:szCs w:val="32"/>
        </w:rPr>
      </w:pPr>
      <w:r>
        <w:rPr>
          <w:rFonts w:hint="eastAsia" w:ascii="宋体" w:hAnsi="宋体"/>
          <w:b/>
          <w:sz w:val="32"/>
          <w:szCs w:val="32"/>
        </w:rPr>
        <w:t>项目实施人员一览表</w:t>
      </w:r>
    </w:p>
    <w:p>
      <w:pPr>
        <w:pStyle w:val="54"/>
        <w:rPr>
          <w:rFonts w:hint="eastAsia"/>
        </w:rPr>
      </w:pPr>
    </w:p>
    <w:tbl>
      <w:tblPr>
        <w:tblStyle w:val="30"/>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709"/>
        <w:gridCol w:w="2789"/>
        <w:gridCol w:w="1371"/>
        <w:gridCol w:w="1479"/>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contextualSpacing/>
              <w:jc w:val="center"/>
              <w:rPr>
                <w:rFonts w:hint="eastAsia" w:ascii="宋体" w:hAnsi="宋体"/>
                <w:sz w:val="24"/>
                <w:szCs w:val="20"/>
              </w:rPr>
            </w:pPr>
            <w:r>
              <w:rPr>
                <w:rFonts w:hint="eastAsia" w:ascii="宋体" w:hAnsi="宋体"/>
                <w:sz w:val="24"/>
                <w:szCs w:val="20"/>
              </w:rPr>
              <w:t>姓名</w:t>
            </w:r>
          </w:p>
        </w:tc>
        <w:tc>
          <w:tcPr>
            <w:tcW w:w="709" w:type="dxa"/>
            <w:vAlign w:val="center"/>
          </w:tcPr>
          <w:p>
            <w:pPr>
              <w:spacing w:line="360" w:lineRule="auto"/>
              <w:contextualSpacing/>
              <w:jc w:val="center"/>
              <w:rPr>
                <w:rFonts w:hint="eastAsia" w:ascii="宋体" w:hAnsi="宋体"/>
                <w:sz w:val="24"/>
                <w:szCs w:val="20"/>
              </w:rPr>
            </w:pPr>
            <w:r>
              <w:rPr>
                <w:rFonts w:hint="eastAsia" w:ascii="宋体" w:hAnsi="宋体"/>
                <w:sz w:val="24"/>
                <w:szCs w:val="20"/>
              </w:rPr>
              <w:t>职务</w:t>
            </w:r>
          </w:p>
        </w:tc>
        <w:tc>
          <w:tcPr>
            <w:tcW w:w="709" w:type="dxa"/>
            <w:vAlign w:val="center"/>
          </w:tcPr>
          <w:p>
            <w:pPr>
              <w:spacing w:line="360" w:lineRule="auto"/>
              <w:contextualSpacing/>
              <w:jc w:val="center"/>
              <w:rPr>
                <w:rFonts w:hint="eastAsia" w:ascii="宋体" w:hAnsi="宋体"/>
                <w:sz w:val="24"/>
                <w:szCs w:val="20"/>
              </w:rPr>
            </w:pPr>
            <w:r>
              <w:rPr>
                <w:rFonts w:hint="eastAsia" w:ascii="宋体" w:hAnsi="宋体"/>
                <w:sz w:val="24"/>
                <w:szCs w:val="20"/>
              </w:rPr>
              <w:t>学历</w:t>
            </w:r>
          </w:p>
        </w:tc>
        <w:tc>
          <w:tcPr>
            <w:tcW w:w="2789" w:type="dxa"/>
            <w:vAlign w:val="center"/>
          </w:tcPr>
          <w:p>
            <w:pPr>
              <w:spacing w:line="360" w:lineRule="auto"/>
              <w:contextualSpacing/>
              <w:jc w:val="center"/>
              <w:rPr>
                <w:rFonts w:hint="eastAsia" w:ascii="宋体" w:hAnsi="宋体"/>
                <w:sz w:val="24"/>
                <w:szCs w:val="20"/>
              </w:rPr>
            </w:pPr>
            <w:r>
              <w:rPr>
                <w:rFonts w:hint="eastAsia" w:ascii="宋体" w:hAnsi="宋体"/>
                <w:sz w:val="24"/>
                <w:szCs w:val="20"/>
              </w:rPr>
              <w:t>专业技术资格（职称）或者职业资格或者执业资格证或者其他证书</w:t>
            </w:r>
          </w:p>
        </w:tc>
        <w:tc>
          <w:tcPr>
            <w:tcW w:w="1371" w:type="dxa"/>
            <w:vAlign w:val="center"/>
          </w:tcPr>
          <w:p>
            <w:pPr>
              <w:spacing w:line="360" w:lineRule="auto"/>
              <w:contextualSpacing/>
              <w:jc w:val="center"/>
              <w:rPr>
                <w:rFonts w:hint="eastAsia" w:ascii="宋体" w:hAnsi="宋体"/>
                <w:sz w:val="24"/>
                <w:szCs w:val="20"/>
              </w:rPr>
            </w:pPr>
            <w:r>
              <w:rPr>
                <w:rFonts w:hint="eastAsia" w:ascii="宋体" w:hAnsi="宋体"/>
                <w:sz w:val="24"/>
                <w:szCs w:val="20"/>
              </w:rPr>
              <w:t>证书编号</w:t>
            </w:r>
          </w:p>
        </w:tc>
        <w:tc>
          <w:tcPr>
            <w:tcW w:w="1479" w:type="dxa"/>
            <w:vAlign w:val="center"/>
          </w:tcPr>
          <w:p>
            <w:pPr>
              <w:spacing w:line="360" w:lineRule="auto"/>
              <w:contextualSpacing/>
              <w:jc w:val="center"/>
              <w:rPr>
                <w:rFonts w:hint="eastAsia" w:ascii="宋体" w:hAnsi="宋体"/>
                <w:sz w:val="24"/>
                <w:szCs w:val="20"/>
              </w:rPr>
            </w:pPr>
            <w:r>
              <w:rPr>
                <w:rFonts w:hint="eastAsia" w:ascii="宋体" w:hAnsi="宋体"/>
                <w:sz w:val="24"/>
                <w:szCs w:val="20"/>
              </w:rPr>
              <w:t>参加本单位</w:t>
            </w:r>
          </w:p>
          <w:p>
            <w:pPr>
              <w:spacing w:line="360" w:lineRule="auto"/>
              <w:contextualSpacing/>
              <w:jc w:val="center"/>
              <w:rPr>
                <w:rFonts w:hint="eastAsia" w:ascii="宋体" w:hAnsi="宋体"/>
                <w:sz w:val="24"/>
                <w:szCs w:val="20"/>
              </w:rPr>
            </w:pPr>
            <w:r>
              <w:rPr>
                <w:rFonts w:hint="eastAsia" w:ascii="宋体" w:hAnsi="宋体"/>
                <w:sz w:val="24"/>
                <w:szCs w:val="20"/>
              </w:rPr>
              <w:t>工作时间</w:t>
            </w:r>
          </w:p>
        </w:tc>
        <w:tc>
          <w:tcPr>
            <w:tcW w:w="1775" w:type="dxa"/>
            <w:vAlign w:val="center"/>
          </w:tcPr>
          <w:p>
            <w:pPr>
              <w:spacing w:line="360" w:lineRule="auto"/>
              <w:contextualSpacing/>
              <w:jc w:val="center"/>
              <w:rPr>
                <w:rFonts w:hint="eastAsia" w:ascii="宋体" w:hAnsi="宋体"/>
                <w:sz w:val="24"/>
                <w:szCs w:val="20"/>
              </w:rPr>
            </w:pPr>
            <w:r>
              <w:rPr>
                <w:rFonts w:hint="eastAsia" w:ascii="宋体" w:hAnsi="宋体"/>
                <w:sz w:val="24"/>
                <w:szCs w:val="20"/>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contextualSpacing/>
              <w:jc w:val="center"/>
              <w:rPr>
                <w:rFonts w:hint="eastAsia" w:ascii="宋体" w:hAnsi="宋体"/>
                <w:sz w:val="24"/>
                <w:szCs w:val="20"/>
              </w:rPr>
            </w:pPr>
          </w:p>
        </w:tc>
        <w:tc>
          <w:tcPr>
            <w:tcW w:w="709" w:type="dxa"/>
            <w:vAlign w:val="center"/>
          </w:tcPr>
          <w:p>
            <w:pPr>
              <w:spacing w:line="360" w:lineRule="auto"/>
              <w:contextualSpacing/>
              <w:jc w:val="center"/>
              <w:rPr>
                <w:rFonts w:hint="eastAsia" w:ascii="宋体" w:hAnsi="宋体"/>
                <w:sz w:val="24"/>
                <w:szCs w:val="20"/>
              </w:rPr>
            </w:pPr>
          </w:p>
        </w:tc>
        <w:tc>
          <w:tcPr>
            <w:tcW w:w="709" w:type="dxa"/>
            <w:vAlign w:val="center"/>
          </w:tcPr>
          <w:p>
            <w:pPr>
              <w:spacing w:line="360" w:lineRule="auto"/>
              <w:contextualSpacing/>
              <w:jc w:val="center"/>
              <w:rPr>
                <w:rFonts w:hint="eastAsia" w:ascii="宋体" w:hAnsi="宋体"/>
                <w:sz w:val="24"/>
                <w:szCs w:val="20"/>
              </w:rPr>
            </w:pPr>
          </w:p>
        </w:tc>
        <w:tc>
          <w:tcPr>
            <w:tcW w:w="2789" w:type="dxa"/>
            <w:vAlign w:val="center"/>
          </w:tcPr>
          <w:p>
            <w:pPr>
              <w:spacing w:line="360" w:lineRule="auto"/>
              <w:contextualSpacing/>
              <w:jc w:val="center"/>
              <w:rPr>
                <w:rFonts w:hint="eastAsia" w:ascii="宋体" w:hAnsi="宋体"/>
                <w:sz w:val="24"/>
                <w:szCs w:val="20"/>
              </w:rPr>
            </w:pPr>
          </w:p>
        </w:tc>
        <w:tc>
          <w:tcPr>
            <w:tcW w:w="1371" w:type="dxa"/>
            <w:vAlign w:val="center"/>
          </w:tcPr>
          <w:p>
            <w:pPr>
              <w:spacing w:line="360" w:lineRule="auto"/>
              <w:contextualSpacing/>
              <w:jc w:val="center"/>
              <w:rPr>
                <w:rFonts w:hint="eastAsia" w:ascii="宋体" w:hAnsi="宋体"/>
                <w:sz w:val="24"/>
                <w:szCs w:val="20"/>
              </w:rPr>
            </w:pPr>
          </w:p>
        </w:tc>
        <w:tc>
          <w:tcPr>
            <w:tcW w:w="1479" w:type="dxa"/>
            <w:vAlign w:val="center"/>
          </w:tcPr>
          <w:p>
            <w:pPr>
              <w:spacing w:line="360" w:lineRule="auto"/>
              <w:contextualSpacing/>
              <w:jc w:val="center"/>
              <w:rPr>
                <w:rFonts w:hint="eastAsia" w:ascii="宋体" w:hAnsi="宋体"/>
                <w:sz w:val="24"/>
                <w:szCs w:val="20"/>
              </w:rPr>
            </w:pPr>
          </w:p>
        </w:tc>
        <w:tc>
          <w:tcPr>
            <w:tcW w:w="1775" w:type="dxa"/>
            <w:vAlign w:val="center"/>
          </w:tcPr>
          <w:p>
            <w:pPr>
              <w:spacing w:line="360" w:lineRule="auto"/>
              <w:contextualSpacing/>
              <w:jc w:val="center"/>
              <w:rPr>
                <w:rFonts w:hint="eastAsia"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contextualSpacing/>
              <w:jc w:val="center"/>
              <w:rPr>
                <w:rFonts w:hint="eastAsia" w:ascii="宋体" w:hAnsi="宋体"/>
                <w:sz w:val="24"/>
                <w:szCs w:val="20"/>
              </w:rPr>
            </w:pPr>
          </w:p>
        </w:tc>
        <w:tc>
          <w:tcPr>
            <w:tcW w:w="709" w:type="dxa"/>
            <w:vAlign w:val="center"/>
          </w:tcPr>
          <w:p>
            <w:pPr>
              <w:spacing w:line="360" w:lineRule="auto"/>
              <w:contextualSpacing/>
              <w:jc w:val="center"/>
              <w:rPr>
                <w:rFonts w:hint="eastAsia" w:ascii="宋体" w:hAnsi="宋体"/>
                <w:sz w:val="24"/>
                <w:szCs w:val="20"/>
              </w:rPr>
            </w:pPr>
          </w:p>
        </w:tc>
        <w:tc>
          <w:tcPr>
            <w:tcW w:w="709" w:type="dxa"/>
            <w:vAlign w:val="center"/>
          </w:tcPr>
          <w:p>
            <w:pPr>
              <w:spacing w:line="360" w:lineRule="auto"/>
              <w:contextualSpacing/>
              <w:jc w:val="center"/>
              <w:rPr>
                <w:rFonts w:hint="eastAsia" w:ascii="宋体" w:hAnsi="宋体"/>
                <w:sz w:val="24"/>
                <w:szCs w:val="20"/>
              </w:rPr>
            </w:pPr>
          </w:p>
        </w:tc>
        <w:tc>
          <w:tcPr>
            <w:tcW w:w="2789" w:type="dxa"/>
            <w:vAlign w:val="center"/>
          </w:tcPr>
          <w:p>
            <w:pPr>
              <w:spacing w:line="360" w:lineRule="auto"/>
              <w:contextualSpacing/>
              <w:jc w:val="center"/>
              <w:rPr>
                <w:rFonts w:hint="eastAsia" w:ascii="宋体" w:hAnsi="宋体"/>
                <w:sz w:val="24"/>
                <w:szCs w:val="20"/>
              </w:rPr>
            </w:pPr>
          </w:p>
        </w:tc>
        <w:tc>
          <w:tcPr>
            <w:tcW w:w="1371" w:type="dxa"/>
            <w:vAlign w:val="center"/>
          </w:tcPr>
          <w:p>
            <w:pPr>
              <w:spacing w:line="360" w:lineRule="auto"/>
              <w:contextualSpacing/>
              <w:jc w:val="center"/>
              <w:rPr>
                <w:rFonts w:hint="eastAsia" w:ascii="宋体" w:hAnsi="宋体"/>
                <w:sz w:val="24"/>
                <w:szCs w:val="20"/>
              </w:rPr>
            </w:pPr>
          </w:p>
        </w:tc>
        <w:tc>
          <w:tcPr>
            <w:tcW w:w="1479" w:type="dxa"/>
            <w:vAlign w:val="center"/>
          </w:tcPr>
          <w:p>
            <w:pPr>
              <w:spacing w:line="360" w:lineRule="auto"/>
              <w:contextualSpacing/>
              <w:jc w:val="center"/>
              <w:rPr>
                <w:rFonts w:hint="eastAsia" w:ascii="宋体" w:hAnsi="宋体"/>
                <w:sz w:val="24"/>
                <w:szCs w:val="20"/>
              </w:rPr>
            </w:pPr>
          </w:p>
        </w:tc>
        <w:tc>
          <w:tcPr>
            <w:tcW w:w="1775" w:type="dxa"/>
            <w:vAlign w:val="center"/>
          </w:tcPr>
          <w:p>
            <w:pPr>
              <w:spacing w:line="360" w:lineRule="auto"/>
              <w:contextualSpacing/>
              <w:jc w:val="center"/>
              <w:rPr>
                <w:rFonts w:hint="eastAsia"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contextualSpacing/>
              <w:jc w:val="center"/>
              <w:rPr>
                <w:rFonts w:hint="eastAsia" w:ascii="宋体" w:hAnsi="宋体"/>
                <w:sz w:val="24"/>
                <w:szCs w:val="20"/>
              </w:rPr>
            </w:pPr>
          </w:p>
        </w:tc>
        <w:tc>
          <w:tcPr>
            <w:tcW w:w="709" w:type="dxa"/>
            <w:vAlign w:val="center"/>
          </w:tcPr>
          <w:p>
            <w:pPr>
              <w:spacing w:line="360" w:lineRule="auto"/>
              <w:contextualSpacing/>
              <w:jc w:val="center"/>
              <w:rPr>
                <w:rFonts w:hint="eastAsia" w:ascii="宋体" w:hAnsi="宋体"/>
                <w:sz w:val="24"/>
                <w:szCs w:val="20"/>
              </w:rPr>
            </w:pPr>
          </w:p>
        </w:tc>
        <w:tc>
          <w:tcPr>
            <w:tcW w:w="709" w:type="dxa"/>
            <w:vAlign w:val="center"/>
          </w:tcPr>
          <w:p>
            <w:pPr>
              <w:spacing w:line="360" w:lineRule="auto"/>
              <w:contextualSpacing/>
              <w:jc w:val="center"/>
              <w:rPr>
                <w:rFonts w:hint="eastAsia" w:ascii="宋体" w:hAnsi="宋体"/>
                <w:sz w:val="24"/>
                <w:szCs w:val="20"/>
              </w:rPr>
            </w:pPr>
          </w:p>
        </w:tc>
        <w:tc>
          <w:tcPr>
            <w:tcW w:w="2789" w:type="dxa"/>
            <w:vAlign w:val="center"/>
          </w:tcPr>
          <w:p>
            <w:pPr>
              <w:spacing w:line="360" w:lineRule="auto"/>
              <w:contextualSpacing/>
              <w:jc w:val="center"/>
              <w:rPr>
                <w:rFonts w:hint="eastAsia" w:ascii="宋体" w:hAnsi="宋体"/>
                <w:sz w:val="24"/>
                <w:szCs w:val="20"/>
              </w:rPr>
            </w:pPr>
          </w:p>
        </w:tc>
        <w:tc>
          <w:tcPr>
            <w:tcW w:w="1371" w:type="dxa"/>
            <w:vAlign w:val="center"/>
          </w:tcPr>
          <w:p>
            <w:pPr>
              <w:spacing w:line="360" w:lineRule="auto"/>
              <w:contextualSpacing/>
              <w:jc w:val="center"/>
              <w:rPr>
                <w:rFonts w:hint="eastAsia" w:ascii="宋体" w:hAnsi="宋体"/>
                <w:sz w:val="24"/>
                <w:szCs w:val="20"/>
              </w:rPr>
            </w:pPr>
          </w:p>
        </w:tc>
        <w:tc>
          <w:tcPr>
            <w:tcW w:w="1479" w:type="dxa"/>
            <w:vAlign w:val="center"/>
          </w:tcPr>
          <w:p>
            <w:pPr>
              <w:spacing w:line="360" w:lineRule="auto"/>
              <w:contextualSpacing/>
              <w:jc w:val="center"/>
              <w:rPr>
                <w:rFonts w:hint="eastAsia" w:ascii="宋体" w:hAnsi="宋体"/>
                <w:sz w:val="24"/>
                <w:szCs w:val="20"/>
              </w:rPr>
            </w:pPr>
          </w:p>
        </w:tc>
        <w:tc>
          <w:tcPr>
            <w:tcW w:w="1775" w:type="dxa"/>
            <w:vAlign w:val="center"/>
          </w:tcPr>
          <w:p>
            <w:pPr>
              <w:spacing w:line="360" w:lineRule="auto"/>
              <w:contextualSpacing/>
              <w:jc w:val="center"/>
              <w:rPr>
                <w:rFonts w:hint="eastAsia"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contextualSpacing/>
              <w:jc w:val="center"/>
              <w:rPr>
                <w:rFonts w:hint="eastAsia" w:ascii="宋体" w:hAnsi="宋体"/>
                <w:sz w:val="24"/>
                <w:szCs w:val="20"/>
              </w:rPr>
            </w:pPr>
          </w:p>
        </w:tc>
        <w:tc>
          <w:tcPr>
            <w:tcW w:w="709" w:type="dxa"/>
            <w:vAlign w:val="center"/>
          </w:tcPr>
          <w:p>
            <w:pPr>
              <w:spacing w:line="360" w:lineRule="auto"/>
              <w:contextualSpacing/>
              <w:jc w:val="center"/>
              <w:rPr>
                <w:rFonts w:hint="eastAsia" w:ascii="宋体" w:hAnsi="宋体"/>
                <w:sz w:val="24"/>
                <w:szCs w:val="20"/>
              </w:rPr>
            </w:pPr>
          </w:p>
        </w:tc>
        <w:tc>
          <w:tcPr>
            <w:tcW w:w="709" w:type="dxa"/>
            <w:vAlign w:val="center"/>
          </w:tcPr>
          <w:p>
            <w:pPr>
              <w:spacing w:line="360" w:lineRule="auto"/>
              <w:contextualSpacing/>
              <w:jc w:val="center"/>
              <w:rPr>
                <w:rFonts w:hint="eastAsia" w:ascii="宋体" w:hAnsi="宋体"/>
                <w:sz w:val="24"/>
                <w:szCs w:val="20"/>
              </w:rPr>
            </w:pPr>
          </w:p>
        </w:tc>
        <w:tc>
          <w:tcPr>
            <w:tcW w:w="2789" w:type="dxa"/>
            <w:vAlign w:val="center"/>
          </w:tcPr>
          <w:p>
            <w:pPr>
              <w:spacing w:line="360" w:lineRule="auto"/>
              <w:contextualSpacing/>
              <w:jc w:val="center"/>
              <w:rPr>
                <w:rFonts w:hint="eastAsia" w:ascii="宋体" w:hAnsi="宋体"/>
                <w:sz w:val="24"/>
                <w:szCs w:val="20"/>
              </w:rPr>
            </w:pPr>
          </w:p>
        </w:tc>
        <w:tc>
          <w:tcPr>
            <w:tcW w:w="1371" w:type="dxa"/>
            <w:vAlign w:val="center"/>
          </w:tcPr>
          <w:p>
            <w:pPr>
              <w:spacing w:line="360" w:lineRule="auto"/>
              <w:contextualSpacing/>
              <w:jc w:val="center"/>
              <w:rPr>
                <w:rFonts w:hint="eastAsia" w:ascii="宋体" w:hAnsi="宋体"/>
                <w:sz w:val="24"/>
                <w:szCs w:val="20"/>
              </w:rPr>
            </w:pPr>
          </w:p>
        </w:tc>
        <w:tc>
          <w:tcPr>
            <w:tcW w:w="1479" w:type="dxa"/>
            <w:vAlign w:val="center"/>
          </w:tcPr>
          <w:p>
            <w:pPr>
              <w:spacing w:line="360" w:lineRule="auto"/>
              <w:contextualSpacing/>
              <w:jc w:val="center"/>
              <w:rPr>
                <w:rFonts w:hint="eastAsia" w:ascii="宋体" w:hAnsi="宋体"/>
                <w:sz w:val="24"/>
                <w:szCs w:val="20"/>
              </w:rPr>
            </w:pPr>
          </w:p>
        </w:tc>
        <w:tc>
          <w:tcPr>
            <w:tcW w:w="1775" w:type="dxa"/>
            <w:vAlign w:val="center"/>
          </w:tcPr>
          <w:p>
            <w:pPr>
              <w:spacing w:line="360" w:lineRule="auto"/>
              <w:contextualSpacing/>
              <w:jc w:val="center"/>
              <w:rPr>
                <w:rFonts w:hint="eastAsia"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contextualSpacing/>
              <w:jc w:val="center"/>
              <w:rPr>
                <w:rFonts w:hint="eastAsia" w:ascii="宋体" w:hAnsi="宋体"/>
                <w:sz w:val="24"/>
                <w:szCs w:val="20"/>
              </w:rPr>
            </w:pPr>
          </w:p>
        </w:tc>
        <w:tc>
          <w:tcPr>
            <w:tcW w:w="709" w:type="dxa"/>
            <w:vAlign w:val="center"/>
          </w:tcPr>
          <w:p>
            <w:pPr>
              <w:spacing w:line="360" w:lineRule="auto"/>
              <w:contextualSpacing/>
              <w:jc w:val="center"/>
              <w:rPr>
                <w:rFonts w:hint="eastAsia" w:ascii="宋体" w:hAnsi="宋体"/>
                <w:sz w:val="24"/>
                <w:szCs w:val="20"/>
              </w:rPr>
            </w:pPr>
          </w:p>
        </w:tc>
        <w:tc>
          <w:tcPr>
            <w:tcW w:w="709" w:type="dxa"/>
            <w:vAlign w:val="center"/>
          </w:tcPr>
          <w:p>
            <w:pPr>
              <w:spacing w:line="360" w:lineRule="auto"/>
              <w:contextualSpacing/>
              <w:jc w:val="center"/>
              <w:rPr>
                <w:rFonts w:hint="eastAsia" w:ascii="宋体" w:hAnsi="宋体"/>
                <w:sz w:val="24"/>
                <w:szCs w:val="20"/>
              </w:rPr>
            </w:pPr>
          </w:p>
        </w:tc>
        <w:tc>
          <w:tcPr>
            <w:tcW w:w="2789" w:type="dxa"/>
            <w:vAlign w:val="center"/>
          </w:tcPr>
          <w:p>
            <w:pPr>
              <w:spacing w:line="360" w:lineRule="auto"/>
              <w:contextualSpacing/>
              <w:jc w:val="center"/>
              <w:rPr>
                <w:rFonts w:hint="eastAsia" w:ascii="宋体" w:hAnsi="宋体"/>
                <w:sz w:val="24"/>
                <w:szCs w:val="20"/>
              </w:rPr>
            </w:pPr>
          </w:p>
        </w:tc>
        <w:tc>
          <w:tcPr>
            <w:tcW w:w="1371" w:type="dxa"/>
            <w:vAlign w:val="center"/>
          </w:tcPr>
          <w:p>
            <w:pPr>
              <w:spacing w:line="360" w:lineRule="auto"/>
              <w:contextualSpacing/>
              <w:jc w:val="center"/>
              <w:rPr>
                <w:rFonts w:hint="eastAsia" w:ascii="宋体" w:hAnsi="宋体"/>
                <w:sz w:val="24"/>
                <w:szCs w:val="20"/>
              </w:rPr>
            </w:pPr>
          </w:p>
        </w:tc>
        <w:tc>
          <w:tcPr>
            <w:tcW w:w="1479" w:type="dxa"/>
            <w:vAlign w:val="center"/>
          </w:tcPr>
          <w:p>
            <w:pPr>
              <w:spacing w:line="360" w:lineRule="auto"/>
              <w:contextualSpacing/>
              <w:jc w:val="center"/>
              <w:rPr>
                <w:rFonts w:hint="eastAsia" w:ascii="宋体" w:hAnsi="宋体"/>
                <w:sz w:val="24"/>
                <w:szCs w:val="20"/>
              </w:rPr>
            </w:pPr>
          </w:p>
        </w:tc>
        <w:tc>
          <w:tcPr>
            <w:tcW w:w="1775" w:type="dxa"/>
            <w:vAlign w:val="center"/>
          </w:tcPr>
          <w:p>
            <w:pPr>
              <w:spacing w:line="360" w:lineRule="auto"/>
              <w:contextualSpacing/>
              <w:jc w:val="center"/>
              <w:rPr>
                <w:rFonts w:hint="eastAsia" w:ascii="宋体" w:hAnsi="宋体"/>
                <w:sz w:val="24"/>
                <w:szCs w:val="20"/>
              </w:rPr>
            </w:pPr>
          </w:p>
        </w:tc>
      </w:tr>
    </w:tbl>
    <w:p>
      <w:pPr>
        <w:spacing w:line="360" w:lineRule="auto"/>
        <w:contextualSpacing/>
        <w:jc w:val="left"/>
        <w:rPr>
          <w:rFonts w:hint="eastAsia" w:ascii="宋体" w:hAnsi="宋体"/>
          <w:sz w:val="24"/>
          <w:szCs w:val="20"/>
        </w:rPr>
      </w:pPr>
    </w:p>
    <w:p>
      <w:pPr>
        <w:spacing w:line="360" w:lineRule="auto"/>
        <w:contextualSpacing/>
        <w:jc w:val="left"/>
        <w:rPr>
          <w:rFonts w:ascii="宋体" w:hAnsi="宋体"/>
          <w:sz w:val="24"/>
          <w:szCs w:val="20"/>
        </w:rPr>
      </w:pPr>
      <w:r>
        <w:rPr>
          <w:rFonts w:hint="eastAsia" w:ascii="宋体" w:hAnsi="宋体"/>
          <w:sz w:val="24"/>
          <w:szCs w:val="20"/>
        </w:rPr>
        <w:t>注：</w:t>
      </w:r>
    </w:p>
    <w:p>
      <w:pPr>
        <w:spacing w:line="360" w:lineRule="auto"/>
        <w:contextualSpacing/>
        <w:jc w:val="left"/>
        <w:rPr>
          <w:rFonts w:ascii="宋体" w:hAnsi="宋体"/>
          <w:sz w:val="24"/>
          <w:szCs w:val="20"/>
        </w:rPr>
      </w:pPr>
      <w:r>
        <w:rPr>
          <w:rFonts w:hint="eastAsia" w:ascii="宋体" w:hAnsi="宋体"/>
          <w:sz w:val="24"/>
          <w:szCs w:val="20"/>
        </w:rPr>
        <w:t>1</w:t>
      </w:r>
      <w:r>
        <w:rPr>
          <w:rFonts w:ascii="宋体" w:hAnsi="宋体"/>
          <w:sz w:val="24"/>
          <w:szCs w:val="20"/>
        </w:rPr>
        <w:t>.</w:t>
      </w:r>
      <w:r>
        <w:rPr>
          <w:rFonts w:hint="eastAsia" w:ascii="宋体" w:hAnsi="宋体"/>
          <w:sz w:val="24"/>
          <w:szCs w:val="20"/>
        </w:rPr>
        <w:t>在填写时，如本表格不适合供应商的实际情况，可根据本表格式自行制表填写。具体要求详见第四章评审程序、评审方法和评审标准。</w:t>
      </w:r>
    </w:p>
    <w:p>
      <w:pPr>
        <w:spacing w:line="360" w:lineRule="auto"/>
        <w:contextualSpacing/>
        <w:jc w:val="left"/>
        <w:rPr>
          <w:rFonts w:hint="eastAsia" w:ascii="宋体" w:hAnsi="宋体"/>
          <w:sz w:val="24"/>
          <w:szCs w:val="20"/>
        </w:rPr>
      </w:pPr>
      <w:r>
        <w:rPr>
          <w:rFonts w:ascii="宋体" w:hAnsi="宋体"/>
          <w:sz w:val="24"/>
          <w:szCs w:val="20"/>
        </w:rPr>
        <w:t>2.</w:t>
      </w:r>
      <w:r>
        <w:rPr>
          <w:rFonts w:hint="eastAsia" w:ascii="宋体" w:hAnsi="宋体"/>
          <w:sz w:val="24"/>
          <w:szCs w:val="20"/>
        </w:rPr>
        <w:t>供应商应当附本表所列证书的复印件并加盖公章。</w:t>
      </w:r>
    </w:p>
    <w:p>
      <w:pPr>
        <w:spacing w:line="360" w:lineRule="auto"/>
        <w:contextualSpacing/>
        <w:rPr>
          <w:rFonts w:hint="eastAsia" w:ascii="宋体" w:hAnsi="宋体"/>
          <w:spacing w:val="20"/>
          <w:sz w:val="24"/>
          <w:szCs w:val="20"/>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pPr>
        <w:spacing w:line="360" w:lineRule="auto"/>
        <w:contextualSpacing/>
        <w:jc w:val="left"/>
        <w:rPr>
          <w:rFonts w:hint="eastAsia" w:ascii="宋体" w:hAnsi="宋体"/>
          <w:sz w:val="24"/>
          <w:szCs w:val="20"/>
        </w:rPr>
      </w:pPr>
      <w:r>
        <w:rPr>
          <w:rFonts w:hint="eastAsia" w:ascii="宋体" w:hAnsi="宋体"/>
          <w:spacing w:val="20"/>
          <w:sz w:val="24"/>
        </w:rPr>
        <w:t>供应商（公章）：</w:t>
      </w:r>
      <w:r>
        <w:rPr>
          <w:rFonts w:hint="eastAsia" w:ascii="宋体" w:hAnsi="宋体"/>
          <w:spacing w:val="20"/>
          <w:sz w:val="24"/>
          <w:u w:val="single"/>
        </w:rPr>
        <w:t xml:space="preserve">            </w:t>
      </w:r>
      <w:r>
        <w:rPr>
          <w:rFonts w:hint="eastAsia" w:ascii="宋体" w:hAnsi="宋体"/>
          <w:spacing w:val="20"/>
          <w:sz w:val="24"/>
        </w:rPr>
        <w:t xml:space="preserve">            日 期：</w:t>
      </w:r>
      <w:r>
        <w:rPr>
          <w:rFonts w:hint="eastAsia" w:ascii="宋体" w:hAnsi="宋体"/>
          <w:spacing w:val="20"/>
          <w:sz w:val="24"/>
          <w:u w:val="single"/>
        </w:rPr>
        <w:t xml:space="preserve">         </w:t>
      </w:r>
    </w:p>
    <w:p>
      <w:pPr>
        <w:snapToGrid w:val="0"/>
        <w:spacing w:before="50" w:after="120" w:afterLines="50"/>
        <w:jc w:val="left"/>
        <w:rPr>
          <w:rFonts w:hint="eastAsia" w:ascii="宋体" w:hAnsi="宋体"/>
          <w:sz w:val="24"/>
          <w:szCs w:val="20"/>
        </w:rPr>
      </w:pPr>
    </w:p>
    <w:p>
      <w:pPr>
        <w:snapToGrid w:val="0"/>
        <w:spacing w:before="50" w:after="50" w:line="360" w:lineRule="auto"/>
        <w:ind w:right="-817" w:rightChars="-389" w:firstLine="5461" w:firstLineChars="1700"/>
        <w:rPr>
          <w:rFonts w:hint="eastAsia" w:ascii="仿宋_GB2312" w:hAnsi="仿宋_GB2312" w:eastAsia="仿宋_GB2312" w:cs="仿宋_GB2312"/>
          <w:b/>
          <w:sz w:val="32"/>
          <w:szCs w:val="32"/>
        </w:rPr>
      </w:pPr>
    </w:p>
    <w:p>
      <w:pPr>
        <w:adjustRightInd w:val="0"/>
        <w:snapToGrid w:val="0"/>
        <w:spacing w:line="300" w:lineRule="auto"/>
        <w:jc w:val="center"/>
        <w:rPr>
          <w:rFonts w:ascii="方正小标宋简体" w:hAnsi="方正小标宋简体" w:eastAsia="方正小标宋简体" w:cs="方正小标宋简体"/>
          <w:bCs/>
          <w:sz w:val="44"/>
          <w:szCs w:val="44"/>
        </w:rPr>
      </w:pPr>
      <w:r>
        <w:rPr>
          <w:rFonts w:ascii="宋体" w:hAnsi="宋体"/>
          <w:b/>
          <w:bCs/>
          <w:sz w:val="24"/>
        </w:rPr>
        <w:br w:type="page"/>
      </w:r>
      <w:r>
        <w:rPr>
          <w:rFonts w:hint="eastAsia" w:ascii="方正小标宋简体" w:hAnsi="方正小标宋简体" w:eastAsia="方正小标宋简体" w:cs="方正小标宋简体"/>
          <w:bCs/>
          <w:sz w:val="44"/>
          <w:szCs w:val="44"/>
        </w:rPr>
        <w:t>类 似 业 绩（参考）</w:t>
      </w:r>
    </w:p>
    <w:p>
      <w:pPr>
        <w:snapToGrid w:val="0"/>
        <w:spacing w:before="120" w:beforeLines="50" w:after="50"/>
        <w:jc w:val="center"/>
        <w:rPr>
          <w:rFonts w:ascii="仿宋" w:hAnsi="仿宋" w:eastAsia="仿宋"/>
          <w:b/>
          <w:sz w:val="24"/>
        </w:rPr>
      </w:pPr>
      <w:r>
        <w:rPr>
          <w:rFonts w:hint="eastAsia" w:ascii="仿宋" w:hAnsi="仿宋" w:eastAsia="仿宋"/>
          <w:b/>
          <w:szCs w:val="21"/>
        </w:rPr>
        <w:t>与采购文件服务需求类似的项目业绩和合同履行情况</w:t>
      </w:r>
    </w:p>
    <w:tbl>
      <w:tblPr>
        <w:tblStyle w:val="3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30"/>
        <w:gridCol w:w="2018"/>
        <w:gridCol w:w="2038"/>
        <w:gridCol w:w="1998"/>
        <w:gridCol w:w="19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968" w:type="pct"/>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 w:hAnsi="仿宋" w:eastAsia="仿宋"/>
                <w:szCs w:val="21"/>
              </w:rPr>
            </w:pPr>
            <w:r>
              <w:rPr>
                <w:rFonts w:hint="eastAsia" w:ascii="仿宋" w:hAnsi="仿宋" w:eastAsia="仿宋"/>
                <w:szCs w:val="21"/>
              </w:rPr>
              <w:t>采购单位</w:t>
            </w:r>
          </w:p>
          <w:p>
            <w:pPr>
              <w:snapToGrid w:val="0"/>
              <w:spacing w:line="360" w:lineRule="exact"/>
              <w:jc w:val="center"/>
              <w:rPr>
                <w:rFonts w:ascii="仿宋" w:hAnsi="仿宋" w:eastAsia="仿宋"/>
                <w:szCs w:val="21"/>
              </w:rPr>
            </w:pPr>
            <w:r>
              <w:rPr>
                <w:rFonts w:hint="eastAsia" w:ascii="仿宋" w:hAnsi="仿宋" w:eastAsia="仿宋"/>
                <w:szCs w:val="21"/>
              </w:rPr>
              <w:t>名称</w:t>
            </w:r>
          </w:p>
        </w:tc>
        <w:tc>
          <w:tcPr>
            <w:tcW w:w="1012" w:type="pct"/>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 w:hAnsi="仿宋" w:eastAsia="仿宋"/>
                <w:szCs w:val="21"/>
              </w:rPr>
            </w:pPr>
            <w:r>
              <w:rPr>
                <w:rFonts w:hint="eastAsia" w:ascii="仿宋" w:hAnsi="仿宋" w:eastAsia="仿宋"/>
                <w:szCs w:val="21"/>
              </w:rPr>
              <w:t>项目名称</w:t>
            </w:r>
          </w:p>
        </w:tc>
        <w:tc>
          <w:tcPr>
            <w:tcW w:w="1022" w:type="pct"/>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 w:hAnsi="仿宋" w:eastAsia="仿宋"/>
                <w:szCs w:val="21"/>
              </w:rPr>
            </w:pPr>
            <w:r>
              <w:rPr>
                <w:rFonts w:hint="eastAsia" w:ascii="仿宋" w:hAnsi="仿宋" w:eastAsia="仿宋"/>
                <w:szCs w:val="21"/>
              </w:rPr>
              <w:t>服务内容</w:t>
            </w:r>
          </w:p>
        </w:tc>
        <w:tc>
          <w:tcPr>
            <w:tcW w:w="100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kern w:val="0"/>
                <w:szCs w:val="21"/>
              </w:rPr>
            </w:pPr>
            <w:r>
              <w:rPr>
                <w:rFonts w:hint="eastAsia" w:ascii="仿宋" w:hAnsi="仿宋" w:eastAsia="仿宋"/>
                <w:szCs w:val="21"/>
              </w:rPr>
              <w:t>附件页码</w:t>
            </w:r>
          </w:p>
        </w:tc>
        <w:tc>
          <w:tcPr>
            <w:tcW w:w="994" w:type="pct"/>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仿宋" w:hAnsi="仿宋" w:eastAsia="仿宋"/>
                <w:kern w:val="0"/>
                <w:szCs w:val="21"/>
              </w:rPr>
            </w:pPr>
            <w:r>
              <w:rPr>
                <w:rFonts w:hint="eastAsia" w:ascii="仿宋" w:hAnsi="仿宋" w:eastAsia="仿宋"/>
                <w:szCs w:val="21"/>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1002" w:type="pc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 w:hAnsi="仿宋" w:eastAsia="仿宋"/>
                <w:szCs w:val="21"/>
              </w:rPr>
            </w:pPr>
            <w:r>
              <w:rPr>
                <w:rFonts w:hint="eastAsia" w:ascii="仿宋" w:hAnsi="仿宋" w:eastAsia="仿宋"/>
                <w:szCs w:val="21"/>
              </w:rPr>
              <w:t>合同</w:t>
            </w:r>
          </w:p>
        </w:tc>
        <w:tc>
          <w:tcPr>
            <w:tcW w:w="994" w:type="pct"/>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68" w:type="pct"/>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仿宋" w:hAnsi="仿宋" w:eastAsia="仿宋"/>
                <w:szCs w:val="21"/>
              </w:rPr>
            </w:pPr>
          </w:p>
        </w:tc>
        <w:tc>
          <w:tcPr>
            <w:tcW w:w="1012" w:type="pct"/>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仿宋" w:hAnsi="仿宋" w:eastAsia="仿宋"/>
                <w:szCs w:val="21"/>
              </w:rPr>
            </w:pPr>
          </w:p>
        </w:tc>
        <w:tc>
          <w:tcPr>
            <w:tcW w:w="1022" w:type="pct"/>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仿宋" w:hAnsi="仿宋" w:eastAsia="仿宋"/>
                <w:szCs w:val="21"/>
              </w:rPr>
            </w:pPr>
          </w:p>
        </w:tc>
        <w:tc>
          <w:tcPr>
            <w:tcW w:w="1002" w:type="pct"/>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仿宋" w:hAnsi="仿宋" w:eastAsia="仿宋"/>
                <w:szCs w:val="21"/>
              </w:rPr>
            </w:pPr>
          </w:p>
        </w:tc>
        <w:tc>
          <w:tcPr>
            <w:tcW w:w="994" w:type="pct"/>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8"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c>
          <w:tcPr>
            <w:tcW w:w="1012"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c>
          <w:tcPr>
            <w:tcW w:w="1022"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c>
          <w:tcPr>
            <w:tcW w:w="1002"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c>
          <w:tcPr>
            <w:tcW w:w="994"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68"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c>
          <w:tcPr>
            <w:tcW w:w="1012"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c>
          <w:tcPr>
            <w:tcW w:w="1022"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c>
          <w:tcPr>
            <w:tcW w:w="1002"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c>
          <w:tcPr>
            <w:tcW w:w="994"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68"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c>
          <w:tcPr>
            <w:tcW w:w="1012"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c>
          <w:tcPr>
            <w:tcW w:w="1022"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c>
          <w:tcPr>
            <w:tcW w:w="1002"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c>
          <w:tcPr>
            <w:tcW w:w="994"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68"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c>
          <w:tcPr>
            <w:tcW w:w="1012"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c>
          <w:tcPr>
            <w:tcW w:w="1022"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c>
          <w:tcPr>
            <w:tcW w:w="1002"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c>
          <w:tcPr>
            <w:tcW w:w="994" w:type="pct"/>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jc w:val="left"/>
              <w:rPr>
                <w:rFonts w:ascii="仿宋" w:hAnsi="仿宋" w:eastAsia="仿宋"/>
                <w:szCs w:val="21"/>
              </w:rPr>
            </w:pPr>
          </w:p>
        </w:tc>
      </w:tr>
    </w:tbl>
    <w:p>
      <w:pPr>
        <w:spacing w:line="360" w:lineRule="auto"/>
        <w:rPr>
          <w:rFonts w:ascii="仿宋" w:hAnsi="仿宋" w:eastAsia="仿宋"/>
          <w:szCs w:val="21"/>
        </w:rPr>
      </w:pPr>
      <w:r>
        <w:rPr>
          <w:rFonts w:hint="eastAsia" w:ascii="仿宋" w:hAnsi="仿宋" w:eastAsia="仿宋"/>
          <w:szCs w:val="21"/>
        </w:rPr>
        <w:t>注：在填写时，如本表格不适合供应商的实际情况，可根据本表格式自行制表填写。（如有，请同时附证明材料，具体要求参见第四章评审程序、评审方法和评审标准）</w:t>
      </w:r>
    </w:p>
    <w:p>
      <w:pPr>
        <w:autoSpaceDE w:val="0"/>
        <w:autoSpaceDN w:val="0"/>
        <w:spacing w:line="300" w:lineRule="auto"/>
        <w:ind w:left="480" w:hanging="480"/>
        <w:rPr>
          <w:rFonts w:ascii="仿宋" w:hAnsi="仿宋" w:eastAsia="仿宋"/>
          <w:szCs w:val="21"/>
        </w:rPr>
      </w:pPr>
    </w:p>
    <w:p>
      <w:pPr>
        <w:snapToGrid w:val="0"/>
        <w:spacing w:before="50" w:after="50"/>
        <w:rPr>
          <w:rFonts w:ascii="仿宋" w:hAnsi="仿宋" w:eastAsia="仿宋"/>
          <w:sz w:val="24"/>
        </w:rPr>
      </w:pPr>
    </w:p>
    <w:p>
      <w:pPr>
        <w:snapToGrid w:val="0"/>
        <w:spacing w:before="50" w:after="50" w:line="520" w:lineRule="exact"/>
        <w:ind w:right="-817" w:rightChars="-389" w:firstLine="840" w:firstLineChars="400"/>
        <w:rPr>
          <w:rFonts w:ascii="仿宋" w:hAnsi="仿宋" w:eastAsia="仿宋" w:cs="仿宋_GB2312"/>
          <w:szCs w:val="21"/>
        </w:rPr>
      </w:pPr>
      <w:r>
        <w:rPr>
          <w:rFonts w:hint="eastAsia" w:ascii="仿宋" w:hAnsi="仿宋" w:eastAsia="仿宋" w:cs="仿宋_GB2312"/>
          <w:szCs w:val="21"/>
        </w:rPr>
        <w:t xml:space="preserve">法定代表人或委托代理人（签字）：                    </w:t>
      </w:r>
    </w:p>
    <w:p>
      <w:pPr>
        <w:snapToGrid w:val="0"/>
        <w:spacing w:before="50" w:after="50" w:line="520" w:lineRule="exact"/>
        <w:ind w:right="-817" w:rightChars="-389" w:firstLine="1890" w:firstLineChars="900"/>
        <w:rPr>
          <w:rFonts w:ascii="仿宋" w:hAnsi="仿宋" w:eastAsia="仿宋" w:cs="仿宋_GB2312"/>
          <w:szCs w:val="21"/>
        </w:rPr>
      </w:pPr>
      <w:r>
        <w:rPr>
          <w:rFonts w:hint="eastAsia" w:ascii="仿宋" w:hAnsi="仿宋" w:eastAsia="仿宋" w:cs="仿宋_GB2312"/>
          <w:szCs w:val="21"/>
        </w:rPr>
        <w:t xml:space="preserve">供应商名称（盖公章）：      </w:t>
      </w:r>
    </w:p>
    <w:p>
      <w:pPr>
        <w:snapToGrid w:val="0"/>
        <w:spacing w:before="50" w:after="50" w:line="520" w:lineRule="exact"/>
        <w:ind w:right="-817" w:rightChars="-389" w:firstLine="3465" w:firstLineChars="1650"/>
        <w:rPr>
          <w:rFonts w:hint="eastAsia" w:ascii="仿宋" w:hAnsi="仿宋" w:eastAsia="仿宋" w:cs="仿宋_GB2312"/>
          <w:szCs w:val="21"/>
        </w:rPr>
      </w:pPr>
      <w:r>
        <w:rPr>
          <w:rFonts w:hint="eastAsia" w:ascii="仿宋" w:hAnsi="仿宋" w:eastAsia="仿宋" w:cs="仿宋_GB2312"/>
          <w:szCs w:val="21"/>
        </w:rPr>
        <w:t>日期：   年   月   日</w:t>
      </w:r>
    </w:p>
    <w:p>
      <w:pPr>
        <w:pStyle w:val="13"/>
        <w:rPr>
          <w:rFonts w:hint="eastAsia" w:ascii="仿宋" w:hAnsi="仿宋" w:eastAsia="仿宋" w:cs="仿宋_GB2312"/>
          <w:szCs w:val="21"/>
        </w:rPr>
      </w:pPr>
    </w:p>
    <w:p/>
    <w:p>
      <w:pPr>
        <w:spacing w:line="300" w:lineRule="auto"/>
        <w:rPr>
          <w:rFonts w:hint="eastAsia" w:ascii="宋体" w:hAnsi="宋体"/>
          <w:b/>
          <w:bCs/>
          <w:sz w:val="24"/>
        </w:rPr>
      </w:pPr>
      <w:r>
        <w:rPr>
          <w:rFonts w:hint="eastAsia" w:ascii="宋体" w:hAnsi="宋体"/>
          <w:b/>
          <w:bCs/>
          <w:sz w:val="24"/>
        </w:rPr>
        <w:t>其他文书、文件格式（企业综合实力，具体要求参见第四章评审程序、评审方法和评审标准）</w:t>
      </w:r>
    </w:p>
    <w:p>
      <w:pPr>
        <w:spacing w:line="300" w:lineRule="auto"/>
        <w:rPr>
          <w:rFonts w:ascii="宋体" w:hAnsi="宋体"/>
          <w:b/>
          <w:bCs/>
          <w:sz w:val="24"/>
        </w:rPr>
      </w:pPr>
    </w:p>
    <w:p>
      <w:pPr>
        <w:rPr>
          <w:rFonts w:hint="eastAsia"/>
          <w:sz w:val="32"/>
          <w:szCs w:val="40"/>
        </w:rPr>
      </w:pPr>
    </w:p>
    <w:p>
      <w:pPr>
        <w:rPr>
          <w:rFonts w:hint="eastAsia"/>
          <w:sz w:val="32"/>
          <w:szCs w:val="40"/>
        </w:rPr>
      </w:pPr>
    </w:p>
    <w:p>
      <w:pPr>
        <w:rPr>
          <w:rFonts w:hint="eastAsia"/>
          <w:sz w:val="32"/>
          <w:szCs w:val="40"/>
        </w:rPr>
      </w:pPr>
    </w:p>
    <w:p>
      <w:pPr>
        <w:rPr>
          <w:rFonts w:hint="eastAsia"/>
          <w:sz w:val="32"/>
          <w:szCs w:val="40"/>
        </w:rPr>
      </w:pPr>
    </w:p>
    <w:p>
      <w:pPr>
        <w:pStyle w:val="3"/>
        <w:numPr>
          <w:ilvl w:val="0"/>
          <w:numId w:val="16"/>
        </w:numPr>
        <w:jc w:val="center"/>
        <w:rPr>
          <w:rFonts w:hint="eastAsia"/>
        </w:rPr>
      </w:pPr>
      <w:r>
        <w:rPr>
          <w:rFonts w:hint="eastAsia" w:ascii="方正小标宋简体" w:hAnsi="方正小标宋简体" w:eastAsia="方正小标宋简体" w:cs="方正小标宋简体"/>
        </w:rPr>
        <w:br w:type="page"/>
      </w:r>
      <w:bookmarkStart w:id="87" w:name="_Toc4391"/>
      <w:bookmarkStart w:id="88" w:name="_Toc14869"/>
      <w:bookmarkStart w:id="89" w:name="_Toc20997"/>
      <w:r>
        <w:rPr>
          <w:rFonts w:hint="eastAsia"/>
        </w:rPr>
        <w:t>合同文本</w:t>
      </w:r>
      <w:bookmarkEnd w:id="87"/>
      <w:bookmarkEnd w:id="88"/>
      <w:bookmarkEnd w:id="89"/>
    </w:p>
    <w:p/>
    <w:p>
      <w:pPr>
        <w:pStyle w:val="54"/>
      </w:pPr>
    </w:p>
    <w:p/>
    <w:p>
      <w:pPr>
        <w:pStyle w:val="54"/>
      </w:pPr>
    </w:p>
    <w:p/>
    <w:p>
      <w:pPr>
        <w:pStyle w:val="54"/>
      </w:pPr>
    </w:p>
    <w:p/>
    <w:p>
      <w:pPr>
        <w:pStyle w:val="54"/>
      </w:pPr>
    </w:p>
    <w:p/>
    <w:p>
      <w:pPr>
        <w:pStyle w:val="54"/>
      </w:pPr>
    </w:p>
    <w:p/>
    <w:p>
      <w:pPr>
        <w:pStyle w:val="54"/>
      </w:pPr>
    </w:p>
    <w:p/>
    <w:p>
      <w:pPr>
        <w:pStyle w:val="54"/>
      </w:pPr>
    </w:p>
    <w:p/>
    <w:p>
      <w:pPr>
        <w:pStyle w:val="54"/>
      </w:pPr>
    </w:p>
    <w:p/>
    <w:p>
      <w:pPr>
        <w:pStyle w:val="54"/>
      </w:pPr>
    </w:p>
    <w:p/>
    <w:p>
      <w:pPr>
        <w:pStyle w:val="54"/>
      </w:pPr>
    </w:p>
    <w:p/>
    <w:p>
      <w:pPr>
        <w:pStyle w:val="54"/>
      </w:pPr>
    </w:p>
    <w:p/>
    <w:p>
      <w:pPr>
        <w:pStyle w:val="54"/>
      </w:pPr>
    </w:p>
    <w:p/>
    <w:p>
      <w:pPr>
        <w:pStyle w:val="54"/>
      </w:pPr>
    </w:p>
    <w:p/>
    <w:p>
      <w:pPr>
        <w:jc w:val="center"/>
        <w:rPr>
          <w:rFonts w:hint="eastAsia"/>
          <w:b/>
          <w:bCs/>
          <w:sz w:val="36"/>
          <w:szCs w:val="36"/>
          <w:u w:val="single"/>
        </w:rPr>
      </w:pPr>
    </w:p>
    <w:p>
      <w:pPr>
        <w:jc w:val="center"/>
        <w:rPr>
          <w:rFonts w:hint="eastAsia"/>
          <w:b/>
          <w:bCs/>
          <w:sz w:val="36"/>
          <w:szCs w:val="36"/>
          <w:u w:val="single"/>
        </w:rPr>
      </w:pPr>
    </w:p>
    <w:p>
      <w:pPr>
        <w:jc w:val="center"/>
        <w:rPr>
          <w:rFonts w:hint="eastAsia"/>
          <w:b/>
          <w:bCs/>
          <w:sz w:val="36"/>
          <w:szCs w:val="36"/>
          <w:u w:val="single"/>
        </w:rPr>
      </w:pPr>
    </w:p>
    <w:p>
      <w:pPr>
        <w:jc w:val="center"/>
        <w:rPr>
          <w:rFonts w:hint="eastAsia"/>
          <w:b/>
          <w:bCs/>
          <w:sz w:val="36"/>
          <w:szCs w:val="36"/>
          <w:u w:val="single"/>
        </w:rPr>
      </w:pPr>
    </w:p>
    <w:p>
      <w:pPr>
        <w:jc w:val="center"/>
        <w:rPr>
          <w:rFonts w:hint="eastAsia"/>
          <w:b/>
          <w:bCs/>
          <w:sz w:val="36"/>
          <w:szCs w:val="36"/>
          <w:u w:val="single"/>
        </w:rPr>
      </w:pPr>
    </w:p>
    <w:p>
      <w:pPr>
        <w:jc w:val="center"/>
        <w:rPr>
          <w:rFonts w:hint="eastAsia"/>
          <w:b/>
          <w:bCs/>
          <w:sz w:val="36"/>
          <w:szCs w:val="36"/>
          <w:u w:val="single"/>
        </w:rPr>
      </w:pPr>
    </w:p>
    <w:p>
      <w:pPr>
        <w:jc w:val="center"/>
        <w:rPr>
          <w:b/>
          <w:bCs/>
          <w:sz w:val="36"/>
          <w:szCs w:val="36"/>
        </w:rPr>
      </w:pPr>
      <w:r>
        <w:rPr>
          <w:rFonts w:hint="eastAsia"/>
          <w:b/>
          <w:bCs/>
          <w:sz w:val="36"/>
          <w:szCs w:val="36"/>
          <w:u w:val="single"/>
        </w:rPr>
        <w:t>仪器设备标定服务</w:t>
      </w:r>
      <w:r>
        <w:rPr>
          <w:b/>
          <w:bCs/>
          <w:sz w:val="36"/>
          <w:szCs w:val="36"/>
        </w:rPr>
        <w:t>采购合同</w:t>
      </w:r>
    </w:p>
    <w:p>
      <w:pPr>
        <w:pStyle w:val="13"/>
        <w:spacing w:before="8"/>
        <w:rPr>
          <w:sz w:val="41"/>
        </w:rPr>
      </w:pPr>
    </w:p>
    <w:p>
      <w:pPr>
        <w:pStyle w:val="13"/>
        <w:rPr>
          <w:sz w:val="20"/>
        </w:rPr>
      </w:pPr>
    </w:p>
    <w:p>
      <w:pPr>
        <w:pStyle w:val="13"/>
        <w:tabs>
          <w:tab w:val="left" w:pos="659"/>
          <w:tab w:val="left" w:pos="1220"/>
          <w:tab w:val="left" w:pos="6329"/>
          <w:tab w:val="left" w:pos="6539"/>
          <w:tab w:val="left" w:pos="9845"/>
        </w:tabs>
        <w:spacing w:before="71"/>
        <w:ind w:left="100"/>
      </w:pPr>
      <w:r>
        <w:t>采</w:t>
      </w:r>
      <w:r>
        <w:tab/>
      </w:r>
      <w:r>
        <w:t>购</w:t>
      </w:r>
      <w:r>
        <w:tab/>
      </w:r>
      <w:r>
        <w:t>人</w:t>
      </w:r>
      <w:r>
        <w:rPr>
          <w:spacing w:val="-3"/>
        </w:rPr>
        <w:t>（</w:t>
      </w:r>
      <w:r>
        <w:t>甲方</w:t>
      </w:r>
      <w:r>
        <w:rPr>
          <w:spacing w:val="-3"/>
        </w:rPr>
        <w:t>）</w:t>
      </w:r>
      <w:r>
        <w:rPr>
          <w:spacing w:val="-3"/>
          <w:u w:val="single"/>
        </w:rPr>
        <w:t xml:space="preserve"> </w:t>
      </w:r>
      <w:r>
        <w:rPr>
          <w:spacing w:val="-3"/>
          <w:u w:val="single"/>
        </w:rPr>
        <w:tab/>
      </w:r>
      <w:r>
        <w:rPr>
          <w:spacing w:val="-3"/>
        </w:rPr>
        <w:tab/>
      </w:r>
    </w:p>
    <w:p>
      <w:pPr>
        <w:pStyle w:val="13"/>
        <w:spacing w:before="10"/>
        <w:rPr>
          <w:sz w:val="11"/>
        </w:rPr>
      </w:pPr>
    </w:p>
    <w:p>
      <w:pPr>
        <w:pStyle w:val="13"/>
        <w:tabs>
          <w:tab w:val="left" w:pos="659"/>
          <w:tab w:val="left" w:pos="1220"/>
          <w:tab w:val="left" w:pos="6329"/>
          <w:tab w:val="left" w:pos="6539"/>
          <w:tab w:val="left" w:pos="9845"/>
        </w:tabs>
        <w:spacing w:before="71"/>
        <w:ind w:left="100"/>
      </w:pPr>
      <w:r>
        <w:t>供</w:t>
      </w:r>
      <w:r>
        <w:tab/>
      </w:r>
      <w:r>
        <w:t>应</w:t>
      </w:r>
      <w:r>
        <w:tab/>
      </w:r>
      <w:r>
        <w:t>商</w:t>
      </w:r>
      <w:r>
        <w:rPr>
          <w:spacing w:val="-3"/>
        </w:rPr>
        <w:t>（</w:t>
      </w:r>
      <w:r>
        <w:t>乙方</w:t>
      </w:r>
      <w:r>
        <w:rPr>
          <w:spacing w:val="-3"/>
        </w:rPr>
        <w:t>）</w:t>
      </w:r>
      <w:r>
        <w:rPr>
          <w:spacing w:val="-3"/>
          <w:u w:val="single"/>
        </w:rPr>
        <w:t xml:space="preserve"> </w:t>
      </w:r>
      <w:r>
        <w:rPr>
          <w:spacing w:val="-3"/>
          <w:u w:val="single"/>
        </w:rPr>
        <w:tab/>
      </w:r>
    </w:p>
    <w:p>
      <w:pPr>
        <w:pStyle w:val="13"/>
        <w:spacing w:before="11"/>
        <w:rPr>
          <w:sz w:val="11"/>
        </w:rPr>
      </w:pPr>
    </w:p>
    <w:p>
      <w:pPr>
        <w:pStyle w:val="13"/>
        <w:tabs>
          <w:tab w:val="left" w:pos="659"/>
          <w:tab w:val="left" w:pos="1220"/>
          <w:tab w:val="left" w:pos="1779"/>
          <w:tab w:val="left" w:pos="2338"/>
          <w:tab w:val="left" w:pos="6049"/>
          <w:tab w:val="left" w:pos="6260"/>
          <w:tab w:val="left" w:pos="6819"/>
          <w:tab w:val="left" w:pos="7379"/>
          <w:tab w:val="left" w:pos="7940"/>
          <w:tab w:val="left" w:pos="9915"/>
        </w:tabs>
        <w:spacing w:before="70"/>
        <w:ind w:left="100"/>
        <w:rPr>
          <w:rFonts w:eastAsia="Times New Roman"/>
        </w:rPr>
      </w:pPr>
      <w:r>
        <w:t>签</w:t>
      </w:r>
      <w:r>
        <w:tab/>
      </w:r>
      <w:r>
        <w:t>订</w:t>
      </w:r>
      <w:r>
        <w:tab/>
      </w:r>
      <w:r>
        <w:t>地</w:t>
      </w:r>
      <w:r>
        <w:tab/>
      </w:r>
      <w:r>
        <w:t>点</w:t>
      </w:r>
      <w:r>
        <w:tab/>
      </w:r>
      <w:r>
        <w:rPr>
          <w:u w:val="single"/>
        </w:rPr>
        <w:t xml:space="preserve"> </w:t>
      </w:r>
      <w:r>
        <w:rPr>
          <w:u w:val="single"/>
        </w:rPr>
        <w:tab/>
      </w:r>
      <w:r>
        <w:tab/>
      </w:r>
      <w:r>
        <w:t>签</w:t>
      </w:r>
      <w:r>
        <w:tab/>
      </w:r>
      <w:r>
        <w:t>订</w:t>
      </w:r>
      <w:r>
        <w:tab/>
      </w:r>
      <w:r>
        <w:t>时</w:t>
      </w:r>
      <w:r>
        <w:tab/>
      </w:r>
      <w:r>
        <w:rPr>
          <w:spacing w:val="-3"/>
        </w:rPr>
        <w:t>间</w:t>
      </w:r>
      <w:r>
        <w:rPr>
          <w:rFonts w:eastAsia="Times New Roman"/>
          <w:u w:val="single"/>
        </w:rPr>
        <w:t xml:space="preserve"> </w:t>
      </w:r>
      <w:r>
        <w:rPr>
          <w:rFonts w:eastAsia="Times New Roman"/>
          <w:u w:val="single"/>
        </w:rPr>
        <w:tab/>
      </w:r>
    </w:p>
    <w:p>
      <w:pPr>
        <w:pStyle w:val="13"/>
        <w:rPr>
          <w:sz w:val="13"/>
        </w:rPr>
      </w:pPr>
    </w:p>
    <w:p>
      <w:pPr>
        <w:pStyle w:val="13"/>
        <w:tabs>
          <w:tab w:val="left" w:pos="4579"/>
          <w:tab w:val="left" w:pos="5139"/>
        </w:tabs>
        <w:spacing w:before="70"/>
        <w:ind w:left="100"/>
      </w:pPr>
      <w:r>
        <w:t>本</w:t>
      </w:r>
      <w:r>
        <w:rPr>
          <w:spacing w:val="-3"/>
        </w:rPr>
        <w:t>合</w:t>
      </w:r>
      <w:r>
        <w:t>同是</w:t>
      </w:r>
      <w:r>
        <w:rPr>
          <w:spacing w:val="-3"/>
        </w:rPr>
        <w:t>否</w:t>
      </w:r>
      <w:r>
        <w:t>为</w:t>
      </w:r>
      <w:r>
        <w:rPr>
          <w:spacing w:val="-3"/>
        </w:rPr>
        <w:t>中</w:t>
      </w:r>
      <w:r>
        <w:t>小企</w:t>
      </w:r>
      <w:r>
        <w:rPr>
          <w:spacing w:val="-3"/>
        </w:rPr>
        <w:t>业</w:t>
      </w:r>
      <w:r>
        <w:t>预留</w:t>
      </w:r>
      <w:r>
        <w:rPr>
          <w:spacing w:val="-3"/>
        </w:rPr>
        <w:t>合</w:t>
      </w:r>
      <w:r>
        <w:t>同</w:t>
      </w:r>
      <w:r>
        <w:rPr>
          <w:rFonts w:hint="eastAsia"/>
        </w:rPr>
        <w:t>：</w:t>
      </w:r>
      <w:r>
        <w:rPr>
          <w:rFonts w:hint="eastAsia"/>
          <w:u w:val="single"/>
        </w:rPr>
        <w:t>否</w:t>
      </w:r>
    </w:p>
    <w:p>
      <w:pPr>
        <w:pStyle w:val="13"/>
        <w:spacing w:before="222" w:line="388" w:lineRule="auto"/>
        <w:ind w:left="100" w:right="237" w:firstLine="559"/>
      </w:pPr>
      <w:r>
        <w:t>根据</w:t>
      </w:r>
      <w:r>
        <w:rPr>
          <w:color w:val="FF0000"/>
          <w:spacing w:val="-10"/>
        </w:rPr>
        <w:t>《</w:t>
      </w:r>
      <w:r>
        <w:rPr>
          <w:color w:val="FF0000"/>
        </w:rPr>
        <w:t>中华人民共和国民法典》</w:t>
      </w:r>
      <w:r>
        <w:rPr>
          <w:rFonts w:hint="eastAsia"/>
          <w:color w:val="FF0000"/>
        </w:rPr>
        <w:t>、《中华人民共和国计量法》、《中华人民共和国计量法实施细则》《检验检测机构资质认定管理办法》《公路水运工程质量检测管理办法》等</w:t>
      </w:r>
      <w:r>
        <w:rPr>
          <w:color w:val="FF0000"/>
        </w:rPr>
        <w:t>法律法规规定，</w:t>
      </w:r>
      <w:r>
        <w:t>按照</w:t>
      </w:r>
      <w:r>
        <w:rPr>
          <w:u w:val="single"/>
        </w:rPr>
        <w:t>询价</w:t>
      </w:r>
      <w:r>
        <w:rPr>
          <w:spacing w:val="-3"/>
        </w:rPr>
        <w:t>文件规定条款和乙方响应文件及其承诺，甲乙双方签订本合同。</w:t>
      </w:r>
    </w:p>
    <w:p>
      <w:pPr>
        <w:pStyle w:val="4"/>
        <w:tabs>
          <w:tab w:val="left" w:pos="1784"/>
        </w:tabs>
        <w:spacing w:line="419" w:lineRule="exact"/>
        <w:rPr>
          <w:rFonts w:ascii="宋体" w:hAnsi="宋体"/>
          <w:sz w:val="28"/>
          <w:szCs w:val="28"/>
        </w:rPr>
      </w:pPr>
      <w:r>
        <w:rPr>
          <w:rFonts w:ascii="宋体" w:hAnsi="宋体"/>
          <w:sz w:val="28"/>
          <w:szCs w:val="28"/>
        </w:rPr>
        <w:t>第一条</w:t>
      </w:r>
      <w:r>
        <w:rPr>
          <w:rFonts w:hint="eastAsia" w:ascii="宋体" w:hAnsi="宋体"/>
          <w:sz w:val="28"/>
          <w:szCs w:val="28"/>
        </w:rPr>
        <w:t xml:space="preserve">  </w:t>
      </w:r>
      <w:r>
        <w:rPr>
          <w:rFonts w:ascii="宋体" w:hAnsi="宋体"/>
          <w:sz w:val="28"/>
          <w:szCs w:val="28"/>
        </w:rPr>
        <w:t>合同标的</w:t>
      </w:r>
    </w:p>
    <w:p>
      <w:pPr>
        <w:pStyle w:val="71"/>
        <w:numPr>
          <w:ilvl w:val="0"/>
          <w:numId w:val="17"/>
        </w:numPr>
        <w:tabs>
          <w:tab w:val="left" w:pos="943"/>
        </w:tabs>
        <w:spacing w:before="159" w:after="36"/>
        <w:ind w:hanging="283" w:firstLineChars="0"/>
        <w:rPr>
          <w:sz w:val="24"/>
        </w:rPr>
      </w:pPr>
      <w:r>
        <w:rPr>
          <w:spacing w:val="-2"/>
          <w:sz w:val="24"/>
        </w:rPr>
        <w:t>项目一览表</w:t>
      </w:r>
    </w:p>
    <w:tbl>
      <w:tblPr>
        <w:tblStyle w:val="30"/>
        <w:tblW w:w="9458" w:type="dxa"/>
        <w:tblInd w:w="113" w:type="dxa"/>
        <w:tblLayout w:type="autofit"/>
        <w:tblCellMar>
          <w:top w:w="0" w:type="dxa"/>
          <w:left w:w="108" w:type="dxa"/>
          <w:bottom w:w="0" w:type="dxa"/>
          <w:right w:w="108" w:type="dxa"/>
        </w:tblCellMar>
      </w:tblPr>
      <w:tblGrid>
        <w:gridCol w:w="768"/>
        <w:gridCol w:w="2186"/>
        <w:gridCol w:w="4337"/>
        <w:gridCol w:w="1057"/>
        <w:gridCol w:w="1110"/>
      </w:tblGrid>
      <w:tr>
        <w:tblPrEx>
          <w:tblCellMar>
            <w:top w:w="0" w:type="dxa"/>
            <w:left w:w="108" w:type="dxa"/>
            <w:bottom w:w="0" w:type="dxa"/>
            <w:right w:w="108" w:type="dxa"/>
          </w:tblCellMar>
        </w:tblPrEx>
        <w:trPr>
          <w:trHeight w:val="509" w:hRule="atLeast"/>
          <w:tblHeader/>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jc w:val="center"/>
              <w:rPr>
                <w:b/>
                <w:bCs/>
                <w:color w:val="000000"/>
                <w:sz w:val="18"/>
                <w:szCs w:val="18"/>
              </w:rPr>
            </w:pPr>
            <w:r>
              <w:rPr>
                <w:b/>
                <w:bCs/>
                <w:color w:val="000000"/>
                <w:sz w:val="18"/>
                <w:szCs w:val="18"/>
              </w:rPr>
              <w:t>序号</w:t>
            </w:r>
          </w:p>
        </w:tc>
        <w:tc>
          <w:tcPr>
            <w:tcW w:w="2186" w:type="dxa"/>
            <w:tcBorders>
              <w:top w:val="single" w:color="auto" w:sz="4" w:space="0"/>
              <w:left w:val="nil"/>
              <w:bottom w:val="single" w:color="auto" w:sz="4" w:space="0"/>
              <w:right w:val="single" w:color="auto" w:sz="4" w:space="0"/>
            </w:tcBorders>
            <w:noWrap/>
            <w:vAlign w:val="center"/>
          </w:tcPr>
          <w:p>
            <w:pPr>
              <w:widowControl/>
              <w:jc w:val="center"/>
              <w:rPr>
                <w:b/>
                <w:bCs/>
                <w:color w:val="000000"/>
                <w:sz w:val="18"/>
                <w:szCs w:val="18"/>
              </w:rPr>
            </w:pPr>
            <w:r>
              <w:rPr>
                <w:b/>
                <w:bCs/>
                <w:color w:val="000000"/>
                <w:sz w:val="18"/>
                <w:szCs w:val="18"/>
              </w:rPr>
              <w:t>仪器设备名称</w:t>
            </w:r>
          </w:p>
        </w:tc>
        <w:tc>
          <w:tcPr>
            <w:tcW w:w="4337"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标定参数</w:t>
            </w:r>
          </w:p>
        </w:tc>
        <w:tc>
          <w:tcPr>
            <w:tcW w:w="1057" w:type="dxa"/>
            <w:tcBorders>
              <w:top w:val="single" w:color="auto" w:sz="4" w:space="0"/>
              <w:left w:val="nil"/>
              <w:bottom w:val="single" w:color="auto" w:sz="4" w:space="0"/>
              <w:right w:val="single" w:color="auto" w:sz="4" w:space="0"/>
            </w:tcBorders>
            <w:noWrap/>
            <w:vAlign w:val="center"/>
          </w:tcPr>
          <w:p>
            <w:pPr>
              <w:widowControl/>
              <w:jc w:val="center"/>
              <w:rPr>
                <w:b/>
                <w:bCs/>
                <w:color w:val="000000"/>
                <w:sz w:val="18"/>
                <w:szCs w:val="18"/>
              </w:rPr>
            </w:pPr>
            <w:r>
              <w:rPr>
                <w:b/>
                <w:bCs/>
                <w:color w:val="000000"/>
                <w:sz w:val="18"/>
                <w:szCs w:val="18"/>
              </w:rPr>
              <w:t>数量</w:t>
            </w:r>
          </w:p>
        </w:tc>
        <w:tc>
          <w:tcPr>
            <w:tcW w:w="1110" w:type="dxa"/>
            <w:tcBorders>
              <w:top w:val="single" w:color="auto" w:sz="4" w:space="0"/>
              <w:left w:val="nil"/>
              <w:bottom w:val="single" w:color="auto" w:sz="4" w:space="0"/>
              <w:right w:val="single" w:color="auto" w:sz="4" w:space="0"/>
            </w:tcBorders>
            <w:noWrap/>
            <w:vAlign w:val="center"/>
          </w:tcPr>
          <w:p>
            <w:pPr>
              <w:widowControl/>
              <w:jc w:val="center"/>
              <w:rPr>
                <w:b/>
                <w:bCs/>
                <w:color w:val="000000"/>
                <w:sz w:val="18"/>
                <w:szCs w:val="18"/>
              </w:rPr>
            </w:pPr>
            <w:r>
              <w:rPr>
                <w:b/>
                <w:bCs/>
                <w:color w:val="000000"/>
                <w:sz w:val="18"/>
                <w:szCs w:val="18"/>
              </w:rPr>
              <w:t>单位</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烘箱</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温度示值误差、温度均匀性、控温波动度、定时精度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2</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电子天平</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示值误差、偏载误差、重复性、线性误差、四角误差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3</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电子天平</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示值误差、偏载误差、重复性、线性误差、四角误差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4</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电子天平</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示值误差、偏载误差、重复性、线性误差、四角误差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5</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灌水法容重测定仪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容器容积精度、量测刻度准确性、密封性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6</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土壤筛</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筛孔尺寸偏差、筛网平整度、筛框垂直度、筛分效率</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7</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土壤密度计</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刻度示值误差、垂直度、密度范围准确性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8</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液塑限联合测定仪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圆锥入土深度示值误差、圆锥质量、下沉时间控制、温度控制</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9</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电动击实仪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击实锤质量、落距精度、击实频率、击实次数控制</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10</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测力环</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力值示值误差、重复性、滞后误差、灵敏度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11</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比重瓶</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容积精度、颈部刻度示值误差、密封性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12</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砂浴</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温度示值误差、加热均匀性、温控精度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13</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表面振动压实仪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振动频率、振幅、激振力、压实时间控制</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14</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回弹模量测定仪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量力环示值误差、变形测量精度、加载控制精度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15</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千分表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示值误差、重复性、回程误差、分辨力</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16</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高温炉（箱式电阻炉）</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温度示值误差、炉膛温度均匀性、升温速率、温控精度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17</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油浴锅</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温度示值误差、温度均匀性、控温精度、液位控制</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18</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水浴锅</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温度示值误差、温度均匀性、控温精度、加热稳定性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19</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土壤相对密度仪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容器容积精度、刻度示值误差、振动频率、击实效果</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20</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百分表（配7.5kN测力环）</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百分表示值误差、测力环力值误差、装配同轴度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21</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钢直尺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长度示值误差、刻度清晰度、直线度、厚度均匀性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把</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22</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测力环</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力值示值误差、重复性、滞后误差、灵敏度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23</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测力环</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力值示值误差、重复性、滞后误差、灵敏度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24</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测力环</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力值示值误差、重复性、滞后误差、灵敏度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25</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测力环</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力值示值误差、重复性、滞后误差、灵敏度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26</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百分表（配30kN测力环）</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百分表示值误差、测力环力值误差、装配精度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27</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百分表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示值误差、重复性、回程误差、测量范围准确性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28</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百分表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示值误差、重复性、回程误差、测量范围准确性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29</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百分表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示值误差、重复性、回程误差、测量范围准确性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30</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百分表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示值误差、重复性、回程误差、测量范围准确性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31</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百分表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示值误差、重复性、回程误差、测量范围准确性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32</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百分表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示值误差、重复性、回程误差、测量范围准确性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33</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百分表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示值误差、重复性、回程误差、测量范围准确性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34</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百分表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示值误差、重复性、回程误差、测量范围准确性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35</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百分表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示值误差、重复性、回程误差、测量范围准确性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36</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标准筛（方孔）</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筛孔尺寸偏差、筛网质量、筛框尺寸精度、筛分效率</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37</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电子天平</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示值误差、偏载误差、重复性、线性误差、四角误差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38</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电子天平</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示值误差、偏载误差、重复性、线性误差、四角误差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39</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摇筛机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振动频率、振幅、筛分时间控制、各层筛固定稳定性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40</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钢板尺（钢直尺）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长度示值误差、刻度精度、直线度、边缘平整度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把</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41</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电子天平</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示值误差、偏载误差、重复性、线性误差、四角误差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42</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电子天平</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示值误差、偏载误差、重复性、线性误差、四角误差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43</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烘箱</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温度示值误差、温度均匀性、控温波动度、定时精度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44</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针片状规准仪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标准孔尺寸偏差、规准杆直径精度、外形尺寸公差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45</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数显卡尺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示值误差、重复性、分辨率、测量力、各测量面平行度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46</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压碎值试验仪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承压面平行度、尺寸精度、加载同心度、试样筒尺寸公差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47</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洛杉矶磨耗试验机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转数控制精度、钢球质量偏差、磨耗筒尺寸精度、转速稳定性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48</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加速磨光试验机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转速控制精度、加载压力示值误差、磨料供给均匀性、温度控制</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49</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烧杯</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容积示值误差、刻度清晰度、耐热性、壁厚均匀性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50</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砂当量试验仪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量筒刻度示值误差、搅拌转速、计时精度、垂直度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51</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恒温水槽（浴）</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温度示值误差、槽内温度均匀性、控温精度、升温速率</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52</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李氏密度瓶（李氏比重瓶）</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容积精度、颈部刻度示值误差、密封性、温度影响修正</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53</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测长仪/比长仪/砼收缩膨胀仪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长度示值误差、温度示值误差、测量力、重复性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54</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百分表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示值误差、重复性、回程误差、测量范围准确性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55</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波美比重计</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刻度示值误差、垂直度、温度修正系数、密度范围</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56</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贮存箱（碱骨料试验箱）</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温度示值误差、湿度控制精度、控温波动度、密封性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57</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软弱颗粒试验机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力值示值误差、加载速率控制、试样夹具尺寸精度、变形测量</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58</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叶轮搅拌机(亚甲蓝搅拌机)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搅拌转速、搅拌时间控制、叶轮尺寸精度、搅拌均匀性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59</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秒表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计时误差、分辨率、启动停止响应时间、累积计时精度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60</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负压筛析仪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负压值示值误差、筛网尺寸偏差、筛分时间控制、密封性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61</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蝶式液塑限测定仪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圆锥质量、入土深度示值误差、下沉时间控制、温度控制</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62</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游标卡尺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示值误差、重复性、分辨率、测量力、各测量面平行度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63</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电子天平</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示值误差、偏载误差、重复性、线性误差、四角误差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64</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密度瓶（比重瓶）</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容积精度、颈部刻度示值误差、密封性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65</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水泥细度负筛析仪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负压值示值误差、筛网尺寸偏差、筛分时间控制、密封性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66</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细度负压筛</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筛孔尺寸偏差、筛网平整度、筛分效率</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67</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细度负压筛</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筛孔尺寸偏差、筛网平整度、筛分效率</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68</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比表面积测定仪</w:t>
            </w:r>
          </w:p>
        </w:tc>
        <w:tc>
          <w:tcPr>
            <w:tcW w:w="433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比表面积测量误差、温度示值误差、计时精度、密封性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69</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秒表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计时误差、分辨率、启动停止响应时间、累积计时精度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70</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维卡仪（水泥标准稠度仪）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试针长度、试针直径、标尺示值误差、落距精度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71</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水泥净浆搅拌机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搅拌转速、搅拌时间控制、叶片尺寸精度、搅拌均匀性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72</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烘箱</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温度示值误差、温度均匀性、控温波动度、定时精度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73</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雷氏夹及膨胀测定仪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弹性恢复量示值误差、标尺精度、雷氏夹尺寸偏差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74</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沸煮箱</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升温时间控制、恒温温度示值误差、水位控制</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75</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恒温恒湿养护箱</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温度示值误差、湿度控制精度、控温精度、密封性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76</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水泥胶砂搅拌机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搅拌转速、搅拌时间、叶片间隙、搅拌均匀性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77</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水泥胶砂振实台</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振动频率、振幅、振动时间、台面平整度、偏心距</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78</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水泥胶砂流动度测定仪（电动跳桌）</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跳动频率、落距精度、流动度测量精度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79</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磁力加热搅拌器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搅拌转速、加热温度示值误差、密封性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80</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氯离子分析仪（测氯蒸馏装置）</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蒸馏精度、温度示值误差、计时精度、密封性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81</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微机控制恒加荷速率压力试验机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力值示值误差、加载速率控制、压板平行度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82</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李氏比重瓶</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容积精度、颈部刻度示值误差、密封性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83</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电子天平</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示值误差、偏载误差、重复性、线性误差、四角误差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84</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坍落度仪（筒）</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容积精度、垂直度、坍落扩展度测量精度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85</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砼数显维勃稠度仪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稠度示值误差、搅拌转速、计时精度、垂直度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86</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混凝土振动台试验仪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振动频率、振幅、振动时间、台面平整度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87</w:t>
            </w:r>
          </w:p>
        </w:tc>
        <w:tc>
          <w:tcPr>
            <w:tcW w:w="2186"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秒表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计时误差、分辨率、启动停止响应时间、累积计时精度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88</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砼含气量测定仪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压力示值误差、密封性、容积精度、温度修正</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89</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砼贯入阻力仪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力值示值误差、贯入深度示值误差、加载速率</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702"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90</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微变形测量仪（混凝土弹性模量测定仪）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变形测量精度、测力精度、稳定性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91</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水泥混凝土渗透仪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压力示值误差、密封性、容积精度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92</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电子台称</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称量精度、重复性、线性误差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93</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标准养护室（恒温恒湿自动控制仪）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温度示值误差、湿度控制精度、控温精度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94</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混凝土卧式搅拌机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搅拌转速、搅拌时间控制、搅拌均匀性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95</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砂浆稠度仪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稠度示值误差、重复性、测量精度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96</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立式砂浆搅拌机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搅拌转速、搅拌时间控制、搅拌均匀性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97</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数显砂浆凝结时间测定仪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凝结时间示值误差、测力精度、计时精度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98</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砂浆分层度仪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分层度测量精度、密封性、容积精度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99</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自密实混凝土坍落扩展度测定仪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扩展度测量精度、平整度、尺寸精度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100</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砂浆收缩膨胀仪（测长仪/比长仪）</w:t>
            </w:r>
          </w:p>
        </w:tc>
        <w:tc>
          <w:tcPr>
            <w:tcW w:w="433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长度示值误差、测量力、重复性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101</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钢直尺</w:t>
            </w:r>
          </w:p>
        </w:tc>
        <w:tc>
          <w:tcPr>
            <w:tcW w:w="433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长度示值误差、刻度清晰度、直线度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 xml:space="preserve"> 把</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102</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电子天平</w:t>
            </w:r>
          </w:p>
        </w:tc>
        <w:tc>
          <w:tcPr>
            <w:tcW w:w="433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示值误差、偏载误差、重复性、线性误差、四角误差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103</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酸度计</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示值误差、温度补偿精度、稳定性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104</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酸式滴定管</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容积示值误差、刻度精度、密封性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105</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移液管</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容积示值误差、刻度精度、密封性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106</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量筒</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容积示值误差、刻度精度、密封性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107</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分析天平</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示值误差、重复性、线性误差、四角误差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108</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分析天平</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示值误差、重复性、线性误差、四角误差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109</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秒表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计时误差、分辨率、启动停止响应时间、累积计时精度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110</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容量瓶</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容积示值误差、刻度精度、密封性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111</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容量瓶</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容积示值误差、刻度精度、密封性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112</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容量瓶</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容积示值误差、刻度精度、密封性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113</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容量瓶</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容积示值误差、刻度精度、密封性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114</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李氏比重瓶</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容积精度、颈部刻度示值误差、密封性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115</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游离氧化钙测定仪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温度示值误差、滴定精度、计时精度、密封性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116</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电子天平</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示值误差、偏载误差、重复性、线性误差、四角误差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117</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5mm圆孔筛</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筛孔尺寸偏差、筛分效率、尺寸精度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118</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沥青密度（比重）瓶</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容积精度、密封性、温度稳定性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119</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恒温水槽</w:t>
            </w:r>
          </w:p>
        </w:tc>
        <w:tc>
          <w:tcPr>
            <w:tcW w:w="433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温度示值误差、槽内温度均匀性、控温精度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120</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沥青针入度测定仪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针入度示值误差、温度示值误差、计时精度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121</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沥青延度试验器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拉伸速度示值误差、温度示值误差、长度示值误差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122</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沥青软化点试验器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温度示值误差、升温速率、钢球质量、定位精度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123</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旋转式沥青薄膜烘箱</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温度示值误差、转速控制精度、空气流量控制</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702"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124</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沥青动力粘度试验仪（真空减压毛细管黏度计）</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动力粘度示值误差、温度示值误差、真空度控制</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125</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克利夫兰开口闪点仪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温度示值误差、加热速率、点火控制</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126</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烘箱（电热鼓风恒温干燥箱）</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温度示值误差、温度均匀性、控温波动度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127</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冰箱</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温度示值误差、制冷精度、密封性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128</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沥青标准粘度试验仪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标准粘度示值误差、温度示值误差、流量控制</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129</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滤筛（1.18mm）</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筛孔尺寸偏差、筛分效率、尺寸精度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130</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温度计</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温度示值误差、测量精度、稳定性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131</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沥青混合料拌和机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温度示值误差、搅拌转速、加热均匀性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132</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烘箱（恒温干燥箱）</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温度示值误差、温度均匀性、控温波动度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133</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浸水天平（静水天平）</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称量精度、重复性、线性误差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134</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控温溢流水槽</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温度示值误差、控温精度、密封性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135</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低温恒温溢流水箱(带网篮）</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温度示值误差、控温精度、溢流水稳定性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136</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马歇尔电动击实仪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击实锤质量、落距精度、击实频率、击实次数控制</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137</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马歇尔稳定度测定仪</w:t>
            </w:r>
          </w:p>
        </w:tc>
        <w:tc>
          <w:tcPr>
            <w:tcW w:w="433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稳定度示值误差、流值示值误差、加载速率</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138</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恒温水槽</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温度示值误差、槽内温度均匀性、控温精度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139</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燃烧炉（燃烧法沥青含量分析仪）</w:t>
            </w:r>
          </w:p>
        </w:tc>
        <w:tc>
          <w:tcPr>
            <w:tcW w:w="433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温度示值误差、加热均匀性、称量精度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140</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沥青混合料最大理论密度仪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密度测量精度、密封性、温度稳定性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141</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车辙试样成型机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温度示值误差、加载压力示值误差、轮压控制</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142</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自动车辙试验仪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温度示值误差、制冷精度、密封性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143</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恒温冰箱（低温试验箱）</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温度示值误差、制冷精度、密封性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144</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电子天平</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示值误差、偏载误差、重复性、线性误差、四角误差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145</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钢直尺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长度示值误差、刻度清晰度、直线度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把</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146</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压力试验机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力值示值误差、加载速率控制、压板平行度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147</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数显万能材料试验机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力值示值误差、变形示值误差、加载速率</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148</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数显万能材料试验机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力值示值误差、变形示值误差、加载速率</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149</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引伸仪（电子引伸计）</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变形测量精度、测力精度、稳定性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150</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游标卡尺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示值误差、重复性、分辨率、测量力、各测量面平行度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151</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标距打点机（连续标点机）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标距长度示值误差、打点精度、稳定性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152</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钢筋弯曲试验机</w:t>
            </w:r>
          </w:p>
        </w:tc>
        <w:tc>
          <w:tcPr>
            <w:tcW w:w="433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弯曲角度控制、弯曲半径精度、加载速度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153</w:t>
            </w:r>
          </w:p>
        </w:tc>
        <w:tc>
          <w:tcPr>
            <w:tcW w:w="2186"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电子天平</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示值误差、偏载误差、重复性、线性误差、四角误差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154</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钢卷尺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长度示值误差、刻度清晰度、伸缩灵活性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把</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155</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钢直尺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长度示值误差、刻度清晰度、直线度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把</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156</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游标卡尺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示值误差、重复性、分辨率、测量力、各测量面平行度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157</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水准仪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水准器角值误差、视准轴平行度、读数精度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158</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全站仪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角度测量误差、距离测量误差、补偿器精度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159</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三米直尺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长度示值误差、平整度、垂直度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把</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160</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数显深度尺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示值误差、重复性、分辨率、测量力</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161</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贝克曼梁</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弯沉仪臂长精度、百分表示值误差、支座稳定性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162</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路表温度计（红外线测温仪）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温度示值误差、测量精度、稳定性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163</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摆式摩擦系数测定仪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摆值示值误差、滑块质量偏差、摆臂长度精度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164</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人工铺砂仪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砂体积精度、刮尺平整度、测量重复性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165</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路面渗水仪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量筒刻度示值误差、渗水时间控制、密封性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rPr>
                <w:sz w:val="18"/>
                <w:szCs w:val="18"/>
              </w:rPr>
            </w:pPr>
            <w:r>
              <w:rPr>
                <w:sz w:val="18"/>
                <w:szCs w:val="18"/>
              </w:rPr>
              <w:t>166</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秒表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计时误差、分辨率、启动停止响应时间、累积计时精度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167</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电动铺砂仪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铺砂精度、尺寸精度、重复性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168</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路面横断面尺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横断面尺寸精度、刻度示值误差、平整度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169</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路面层间粘结力拉拔试验仪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拉拔力示值误差、加载速率控制、位移精度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170</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拉伸仪（电子引伸计）</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变形测量精度、测力精度、稳定性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把</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171</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百分表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示值误差、重复性、回程误差、分辨力</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172</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落球式回弹模量测试仪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模量示值误差、加载精度、变形测量精度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173</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混凝土回弹仪</w:t>
            </w:r>
          </w:p>
        </w:tc>
        <w:tc>
          <w:tcPr>
            <w:tcW w:w="433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率定值误差、指针摩擦力、冲击能量</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sz w:val="18"/>
                <w:szCs w:val="18"/>
              </w:rPr>
            </w:pPr>
            <w:r>
              <w:rPr>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174</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碳化深度测量装置</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深度示值误差、重复性、测量精度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175</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钢筋探测仪（一体式钢筋检测仪）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钢筋位置测量精度、直径测量误差、保护层厚度误差</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176</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钢直尺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长度示值误差、刻度清晰度、直线度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177</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钢卷尺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长度示值误差、刻度清晰度、伸缩灵活性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178</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游标卡尺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示值误差、重复性、分辨率、测量力、各测量面平行度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把</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179</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裂缝综合测试仪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裂缝宽度示值误差、深度测量误差、长度测量精度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把</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180</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承载板测试仪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承载精度、力值示值误差、变形测量精度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181</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压力表（荷载加载装置）</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压力示值误差、重复性、回程误差、量程准确性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182</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动力触探仪（轻型触探仪）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探头面积精度、锤击能量、计数精度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183</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静力触探仪（含测力传感器）</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测力传感器示值误差、深度测量精度、贯入速率</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924"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184</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无线超声波检测仪（多通道超声测桩仪+超声测桩提升装置）</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声时测量误差、声幅测量精度、定位精度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185</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基桩动测仪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振动频率测量精度、加速度测量误差、分析精度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186</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精密水准仪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水准器角值误差、视准轴平行度、读数精度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187</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直尺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长度示值误差、刻度清晰度、直线度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188</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卷尺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长度示值误差、刻度清晰度、伸缩灵活性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189</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卡尺（游标卡尺）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示值误差、重复性、分辨率、测量力、各测量面平行度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把</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190</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万能角尺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角度示值误差、重复性、测量精度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把</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191</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塞尺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厚度示值误差、平行度、柔韧性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192</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锤线（吊锤）</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垂直度、质量均匀性、线的直线度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193</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千分尺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示值误差、重复性、平行度、测量力</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把</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194</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超声波测厚仪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厚度示值误差、分辨率、声速校准</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195</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涂层测厚仪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厚度示值误差、重复性、分辨率</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196</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标线涂层厚度测试仪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厚度示值误差、测量压力、分辨率</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台</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197</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竖直度尺</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垂直度误差、长度示值误差、刻度精度</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198</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逆反射标志测量仪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逆反射系数示值误差、角度控制、光源稳定性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个</w:t>
            </w:r>
          </w:p>
        </w:tc>
      </w:tr>
      <w:tr>
        <w:tblPrEx>
          <w:tblCellMar>
            <w:top w:w="0" w:type="dxa"/>
            <w:left w:w="108" w:type="dxa"/>
            <w:bottom w:w="0" w:type="dxa"/>
            <w:right w:w="108" w:type="dxa"/>
          </w:tblCellMar>
        </w:tblPrEx>
        <w:trPr>
          <w:trHeight w:val="509" w:hRule="atLeast"/>
        </w:trPr>
        <w:tc>
          <w:tcPr>
            <w:tcW w:w="768" w:type="dxa"/>
            <w:tcBorders>
              <w:top w:val="nil"/>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199</w:t>
            </w:r>
          </w:p>
        </w:tc>
        <w:tc>
          <w:tcPr>
            <w:tcW w:w="2186"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标线逆反射测量仪</w:t>
            </w:r>
          </w:p>
        </w:tc>
        <w:tc>
          <w:tcPr>
            <w:tcW w:w="4337" w:type="dxa"/>
            <w:tcBorders>
              <w:top w:val="nil"/>
              <w:left w:val="nil"/>
              <w:bottom w:val="single" w:color="auto" w:sz="4" w:space="0"/>
              <w:right w:val="single" w:color="auto" w:sz="4" w:space="0"/>
            </w:tcBorders>
            <w:vAlign w:val="center"/>
          </w:tcPr>
          <w:p>
            <w:pPr>
              <w:widowControl/>
              <w:jc w:val="center"/>
              <w:rPr>
                <w:color w:val="000000"/>
                <w:sz w:val="18"/>
                <w:szCs w:val="18"/>
              </w:rPr>
            </w:pPr>
            <w:r>
              <w:rPr>
                <w:color w:val="000000"/>
                <w:sz w:val="18"/>
                <w:szCs w:val="18"/>
              </w:rPr>
              <w:t>逆反射系数示值误差、角度控制、光源稳定性</w:t>
            </w:r>
          </w:p>
        </w:tc>
        <w:tc>
          <w:tcPr>
            <w:tcW w:w="1057" w:type="dxa"/>
            <w:tcBorders>
              <w:top w:val="nil"/>
              <w:left w:val="nil"/>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nil"/>
              <w:left w:val="nil"/>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把</w:t>
            </w:r>
          </w:p>
        </w:tc>
      </w:tr>
      <w:tr>
        <w:tblPrEx>
          <w:tblCellMar>
            <w:top w:w="0" w:type="dxa"/>
            <w:left w:w="108" w:type="dxa"/>
            <w:bottom w:w="0" w:type="dxa"/>
            <w:right w:w="108" w:type="dxa"/>
          </w:tblCellMar>
        </w:tblPrEx>
        <w:trPr>
          <w:trHeight w:val="518"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18"/>
                <w:szCs w:val="18"/>
              </w:rPr>
            </w:pPr>
            <w:r>
              <w:rPr>
                <w:color w:val="000000"/>
                <w:kern w:val="0"/>
                <w:sz w:val="18"/>
                <w:szCs w:val="18"/>
                <w:lang w:bidi="ar"/>
              </w:rPr>
              <w:t>200</w:t>
            </w:r>
          </w:p>
        </w:tc>
        <w:tc>
          <w:tcPr>
            <w:tcW w:w="2186" w:type="dxa"/>
            <w:tcBorders>
              <w:top w:val="single" w:color="auto" w:sz="4" w:space="0"/>
              <w:left w:val="single" w:color="auto" w:sz="4" w:space="0"/>
              <w:bottom w:val="single" w:color="auto" w:sz="4" w:space="0"/>
              <w:right w:val="single" w:color="auto" w:sz="4" w:space="0"/>
            </w:tcBorders>
            <w:vAlign w:val="center"/>
          </w:tcPr>
          <w:p>
            <w:pPr>
              <w:widowControl/>
              <w:jc w:val="center"/>
              <w:rPr>
                <w:sz w:val="18"/>
                <w:szCs w:val="18"/>
              </w:rPr>
            </w:pPr>
            <w:r>
              <w:rPr>
                <w:sz w:val="18"/>
                <w:szCs w:val="18"/>
              </w:rPr>
              <w:t>护栏立柱质量检测仪</w:t>
            </w:r>
          </w:p>
        </w:tc>
        <w:tc>
          <w:tcPr>
            <w:tcW w:w="4337"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sz w:val="18"/>
                <w:szCs w:val="18"/>
              </w:rPr>
            </w:pPr>
            <w:r>
              <w:rPr>
                <w:color w:val="000000"/>
                <w:sz w:val="18"/>
                <w:szCs w:val="18"/>
              </w:rPr>
              <w:t>立柱垂直度测量误差、壁厚测量精度、长度测量误差</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sz w:val="18"/>
                <w:szCs w:val="18"/>
              </w:rPr>
            </w:pPr>
            <w:r>
              <w:rPr>
                <w:sz w:val="18"/>
                <w:szCs w:val="18"/>
              </w:rPr>
              <w:t>1</w:t>
            </w: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sz w:val="18"/>
                <w:szCs w:val="18"/>
              </w:rPr>
            </w:pPr>
            <w:r>
              <w:rPr>
                <w:color w:val="000000"/>
                <w:sz w:val="18"/>
                <w:szCs w:val="18"/>
              </w:rPr>
              <w:t xml:space="preserve"> 套</w:t>
            </w:r>
          </w:p>
        </w:tc>
      </w:tr>
      <w:tr>
        <w:tblPrEx>
          <w:tblCellMar>
            <w:top w:w="0" w:type="dxa"/>
            <w:left w:w="108" w:type="dxa"/>
            <w:bottom w:w="0" w:type="dxa"/>
            <w:right w:w="108" w:type="dxa"/>
          </w:tblCellMar>
        </w:tblPrEx>
        <w:trPr>
          <w:trHeight w:val="538" w:hRule="atLeast"/>
        </w:trPr>
        <w:tc>
          <w:tcPr>
            <w:tcW w:w="9458" w:type="dxa"/>
            <w:gridSpan w:val="5"/>
            <w:tcBorders>
              <w:top w:val="single" w:color="auto" w:sz="4" w:space="0"/>
              <w:left w:val="single" w:color="auto" w:sz="4" w:space="0"/>
              <w:bottom w:val="single" w:color="auto" w:sz="4" w:space="0"/>
              <w:right w:val="single" w:color="auto" w:sz="4" w:space="0"/>
            </w:tcBorders>
            <w:vAlign w:val="center"/>
          </w:tcPr>
          <w:p>
            <w:pPr>
              <w:widowControl/>
              <w:ind w:firstLine="180" w:firstLineChars="100"/>
              <w:rPr>
                <w:color w:val="000000"/>
                <w:sz w:val="18"/>
                <w:szCs w:val="18"/>
              </w:rPr>
            </w:pPr>
            <w:r>
              <w:rPr>
                <w:rFonts w:hint="eastAsia"/>
                <w:color w:val="000000"/>
                <w:sz w:val="18"/>
                <w:szCs w:val="18"/>
              </w:rPr>
              <w:t>金额总计（大写）：</w:t>
            </w:r>
          </w:p>
        </w:tc>
      </w:tr>
    </w:tbl>
    <w:p>
      <w:pPr>
        <w:pStyle w:val="13"/>
        <w:spacing w:before="177" w:line="400" w:lineRule="auto"/>
        <w:ind w:left="100" w:right="237" w:firstLine="559"/>
        <w:rPr>
          <w:spacing w:val="-6"/>
        </w:rPr>
      </w:pPr>
      <w:r>
        <w:rPr>
          <w:rFonts w:hint="eastAsia"/>
          <w:spacing w:val="-6"/>
        </w:rPr>
        <w:t>2</w:t>
      </w:r>
      <w:r>
        <w:rPr>
          <w:spacing w:val="-6"/>
        </w:rPr>
        <w:t>.</w:t>
      </w:r>
      <w:r>
        <w:rPr>
          <w:rFonts w:hint="eastAsia"/>
          <w:spacing w:val="-6"/>
        </w:rPr>
        <w:t>合同合计金额包括但不限于满足本次竞标全部采购需求所应提供的服务， 以及伴随的货物和工程（如有）的价格；包含竞标服务、货物、工程的成本、备件、专用工具、包装、运输（含运输保险）、安装（如有）、调试、检验、技术服务、培训、税费及技术资料等全部所有费用。如</w:t>
      </w:r>
      <w:r>
        <w:rPr>
          <w:u w:val="single"/>
        </w:rPr>
        <w:t>询价</w:t>
      </w:r>
      <w:r>
        <w:rPr>
          <w:rFonts w:hint="eastAsia"/>
          <w:spacing w:val="-6"/>
        </w:rPr>
        <w:t>等采购文件对其另有规定的，从</w:t>
      </w:r>
      <w:r>
        <w:rPr>
          <w:spacing w:val="-6"/>
        </w:rPr>
        <w:t>其规定。</w:t>
      </w:r>
    </w:p>
    <w:p>
      <w:pPr>
        <w:pStyle w:val="4"/>
        <w:tabs>
          <w:tab w:val="left" w:pos="1784"/>
        </w:tabs>
        <w:spacing w:before="149" w:line="240" w:lineRule="auto"/>
        <w:rPr>
          <w:rFonts w:hint="eastAsia" w:ascii="宋体" w:hAnsi="宋体" w:cs="宋体"/>
          <w:sz w:val="24"/>
          <w:szCs w:val="24"/>
        </w:rPr>
      </w:pPr>
      <w:r>
        <w:rPr>
          <w:rFonts w:hint="eastAsia" w:ascii="宋体" w:hAnsi="宋体" w:cs="宋体"/>
          <w:sz w:val="24"/>
          <w:szCs w:val="24"/>
        </w:rPr>
        <w:t>第二条  质量保证</w:t>
      </w:r>
    </w:p>
    <w:p>
      <w:pPr>
        <w:pStyle w:val="13"/>
        <w:spacing w:before="177" w:line="400" w:lineRule="auto"/>
        <w:ind w:left="100" w:right="237" w:firstLine="559"/>
        <w:rPr>
          <w:rFonts w:hint="eastAsia" w:ascii="宋体" w:hAnsi="宋体" w:cs="宋体"/>
          <w:szCs w:val="21"/>
        </w:rPr>
      </w:pPr>
      <w:r>
        <w:rPr>
          <w:rFonts w:hint="eastAsia" w:ascii="宋体" w:hAnsi="宋体" w:cs="宋体"/>
          <w:spacing w:val="-6"/>
          <w:szCs w:val="21"/>
        </w:rPr>
        <w:t>乙方所提供的服务及服务内容必须与响应文件承诺相一致，有国家强制性标</w:t>
      </w:r>
      <w:r>
        <w:rPr>
          <w:rFonts w:hint="eastAsia" w:ascii="宋体" w:hAnsi="宋体" w:cs="宋体"/>
          <w:spacing w:val="-8"/>
          <w:szCs w:val="21"/>
        </w:rPr>
        <w:t>准的，还必须符合国家强制性标准的规定，没有国家强制性标准但有其他强制性</w:t>
      </w:r>
      <w:r>
        <w:rPr>
          <w:rFonts w:hint="eastAsia" w:ascii="宋体" w:hAnsi="宋体" w:cs="宋体"/>
          <w:spacing w:val="-3"/>
          <w:szCs w:val="21"/>
        </w:rPr>
        <w:t>标准的，必须符合其他强制性标准的规定。</w:t>
      </w:r>
    </w:p>
    <w:p>
      <w:pPr>
        <w:pStyle w:val="4"/>
        <w:tabs>
          <w:tab w:val="left" w:pos="1784"/>
        </w:tabs>
        <w:spacing w:line="425" w:lineRule="exact"/>
        <w:rPr>
          <w:rFonts w:hint="eastAsia" w:ascii="宋体" w:hAnsi="宋体" w:cs="宋体"/>
          <w:sz w:val="24"/>
          <w:szCs w:val="24"/>
        </w:rPr>
      </w:pPr>
      <w:r>
        <w:rPr>
          <w:rFonts w:hint="eastAsia" w:ascii="宋体" w:hAnsi="宋体" w:cs="宋体"/>
          <w:sz w:val="24"/>
          <w:szCs w:val="24"/>
        </w:rPr>
        <w:t>第三条  权利保证</w:t>
      </w:r>
    </w:p>
    <w:p>
      <w:pPr>
        <w:pStyle w:val="71"/>
        <w:numPr>
          <w:ilvl w:val="0"/>
          <w:numId w:val="18"/>
        </w:numPr>
        <w:tabs>
          <w:tab w:val="left" w:pos="943"/>
        </w:tabs>
        <w:spacing w:before="178" w:line="400" w:lineRule="auto"/>
        <w:ind w:right="98" w:firstLine="559" w:firstLineChars="0"/>
        <w:rPr>
          <w:rFonts w:hint="eastAsia" w:ascii="宋体" w:hAnsi="宋体" w:cs="宋体"/>
          <w:szCs w:val="21"/>
        </w:rPr>
      </w:pPr>
      <w:r>
        <w:rPr>
          <w:rFonts w:hint="eastAsia" w:ascii="宋体" w:hAnsi="宋体" w:cs="宋体"/>
          <w:spacing w:val="-3"/>
          <w:szCs w:val="21"/>
        </w:rPr>
        <w:t>乙方应保证所提供服务在使用时不会侵犯任何第三方的专利权、商标权、</w:t>
      </w:r>
      <w:r>
        <w:rPr>
          <w:rFonts w:hint="eastAsia" w:ascii="宋体" w:hAnsi="宋体" w:cs="宋体"/>
          <w:spacing w:val="-13"/>
          <w:szCs w:val="21"/>
        </w:rPr>
        <w:t>工业设计权等知识产权及其他合法权利，且所有权、处分权等没有受到任何限制。</w:t>
      </w:r>
    </w:p>
    <w:p>
      <w:pPr>
        <w:pStyle w:val="71"/>
        <w:numPr>
          <w:ilvl w:val="0"/>
          <w:numId w:val="18"/>
        </w:numPr>
        <w:tabs>
          <w:tab w:val="left" w:pos="943"/>
        </w:tabs>
        <w:spacing w:before="1" w:line="400" w:lineRule="auto"/>
        <w:ind w:right="98" w:firstLine="559" w:firstLineChars="0"/>
        <w:rPr>
          <w:rFonts w:hint="eastAsia" w:ascii="宋体" w:hAnsi="宋体" w:cs="宋体"/>
          <w:szCs w:val="21"/>
        </w:rPr>
      </w:pPr>
      <w:r>
        <w:rPr>
          <w:rFonts w:hint="eastAsia" w:ascii="宋体" w:hAnsi="宋体" w:cs="宋体"/>
          <w:spacing w:val="-8"/>
          <w:szCs w:val="21"/>
        </w:rPr>
        <w:t>没有甲方事先书面同意，乙方不得将由甲方提供的有关合同或者任何合同</w:t>
      </w:r>
      <w:r>
        <w:rPr>
          <w:rFonts w:hint="eastAsia" w:ascii="宋体" w:hAnsi="宋体" w:cs="宋体"/>
          <w:spacing w:val="-17"/>
          <w:szCs w:val="21"/>
        </w:rPr>
        <w:t>条文、规格、计划、图纸、样品或者资料提供基于履行本合同无关的任何其他人。</w:t>
      </w:r>
      <w:r>
        <w:rPr>
          <w:rFonts w:hint="eastAsia" w:ascii="宋体" w:hAnsi="宋体" w:cs="宋体"/>
          <w:spacing w:val="-5"/>
          <w:szCs w:val="21"/>
        </w:rPr>
        <w:t>即使向履行本合同有关的人员提供，也应注意保密并限于履行合同的必需范围。</w:t>
      </w:r>
      <w:r>
        <w:rPr>
          <w:rFonts w:hint="eastAsia" w:ascii="宋体" w:hAnsi="宋体" w:cs="宋体"/>
          <w:spacing w:val="-3"/>
          <w:szCs w:val="21"/>
        </w:rPr>
        <w:t>乙方的保密义务持续有效，不因为本合同履行终止、解除或者无效而解除。</w:t>
      </w:r>
    </w:p>
    <w:p>
      <w:pPr>
        <w:pStyle w:val="71"/>
        <w:numPr>
          <w:ilvl w:val="0"/>
          <w:numId w:val="18"/>
        </w:numPr>
        <w:tabs>
          <w:tab w:val="left" w:pos="943"/>
        </w:tabs>
        <w:spacing w:before="4" w:line="360" w:lineRule="auto"/>
        <w:ind w:left="913" w:hanging="283" w:firstLineChars="0"/>
        <w:rPr>
          <w:rFonts w:hint="eastAsia" w:ascii="宋体" w:hAnsi="宋体" w:cs="宋体"/>
          <w:szCs w:val="21"/>
        </w:rPr>
      </w:pPr>
      <w:r>
        <w:rPr>
          <w:rFonts w:hint="eastAsia" w:ascii="宋体" w:hAnsi="宋体" w:cs="宋体"/>
          <w:spacing w:val="-3"/>
          <w:szCs w:val="21"/>
          <w:u w:val="single"/>
        </w:rPr>
        <w:t>双方基于本合同履行所产生的全部成果的所有权和全部知识产权归甲方</w:t>
      </w:r>
      <w:r>
        <w:rPr>
          <w:rFonts w:hint="eastAsia" w:ascii="宋体" w:hAnsi="宋体" w:cs="宋体"/>
          <w:szCs w:val="21"/>
          <w:u w:val="single"/>
        </w:rPr>
        <w:t>所有（包括但不限于计算机软件、各类作品或设计、商业秘密等成果；涉及肖像</w:t>
      </w:r>
      <w:r>
        <w:rPr>
          <w:rFonts w:hint="eastAsia" w:ascii="宋体" w:hAnsi="宋体" w:cs="宋体"/>
          <w:spacing w:val="-3"/>
          <w:szCs w:val="21"/>
          <w:u w:val="single"/>
        </w:rPr>
        <w:t>权和图片租用版权等情况，乙方应提前向甲方予以书面说明</w:t>
      </w:r>
      <w:r>
        <w:rPr>
          <w:rFonts w:hint="eastAsia" w:ascii="宋体" w:hAnsi="宋体" w:cs="宋体"/>
          <w:spacing w:val="-140"/>
          <w:szCs w:val="21"/>
          <w:u w:val="single"/>
        </w:rPr>
        <w:t>）</w:t>
      </w:r>
      <w:r>
        <w:rPr>
          <w:rFonts w:hint="eastAsia" w:ascii="宋体" w:hAnsi="宋体" w:cs="宋体"/>
          <w:spacing w:val="-3"/>
          <w:szCs w:val="21"/>
          <w:u w:val="single"/>
        </w:rPr>
        <w:t>，乙方不得擅自使</w:t>
      </w:r>
      <w:r>
        <w:rPr>
          <w:rFonts w:hint="eastAsia" w:ascii="宋体" w:hAnsi="宋体" w:cs="宋体"/>
          <w:szCs w:val="21"/>
          <w:u w:val="single"/>
        </w:rPr>
        <w:t>用或转卖他人。</w:t>
      </w:r>
    </w:p>
    <w:p>
      <w:pPr>
        <w:pStyle w:val="13"/>
        <w:tabs>
          <w:tab w:val="left" w:pos="7589"/>
        </w:tabs>
        <w:spacing w:before="70" w:line="360" w:lineRule="auto"/>
        <w:ind w:firstLine="720" w:firstLineChars="300"/>
        <w:rPr>
          <w:rFonts w:hint="eastAsia" w:ascii="宋体" w:hAnsi="宋体" w:cs="宋体"/>
          <w:szCs w:val="21"/>
        </w:rPr>
      </w:pPr>
      <w:r>
        <w:rPr>
          <w:rFonts w:hint="eastAsia" w:ascii="宋体" w:hAnsi="宋体" w:cs="宋体"/>
          <w:sz w:val="24"/>
        </w:rPr>
        <w:t>4.</w:t>
      </w:r>
      <w:r>
        <w:rPr>
          <w:rFonts w:hint="eastAsia" w:ascii="宋体" w:hAnsi="宋体" w:cs="宋体"/>
          <w:szCs w:val="21"/>
        </w:rPr>
        <w:t>服务周期与进度要求</w:t>
      </w:r>
    </w:p>
    <w:p>
      <w:pPr>
        <w:pStyle w:val="13"/>
        <w:tabs>
          <w:tab w:val="left" w:pos="7589"/>
        </w:tabs>
        <w:spacing w:before="70" w:line="360" w:lineRule="auto"/>
        <w:ind w:firstLine="630" w:firstLineChars="300"/>
        <w:rPr>
          <w:rFonts w:hint="eastAsia" w:ascii="宋体" w:hAnsi="宋体" w:cs="宋体"/>
          <w:szCs w:val="21"/>
        </w:rPr>
      </w:pPr>
      <w:r>
        <w:rPr>
          <w:rFonts w:hint="eastAsia" w:ascii="宋体" w:hAnsi="宋体" w:cs="宋体"/>
          <w:szCs w:val="21"/>
        </w:rPr>
        <w:t>（1）响应时效：甲方通知后24小时内对接，48小时内进场开展标定作业；</w:t>
      </w:r>
    </w:p>
    <w:p>
      <w:pPr>
        <w:pStyle w:val="13"/>
        <w:tabs>
          <w:tab w:val="left" w:pos="7589"/>
        </w:tabs>
        <w:spacing w:before="70" w:line="360" w:lineRule="auto"/>
        <w:ind w:left="630"/>
        <w:rPr>
          <w:rFonts w:hint="eastAsia" w:ascii="宋体" w:hAnsi="宋体" w:cs="宋体"/>
          <w:szCs w:val="21"/>
        </w:rPr>
      </w:pPr>
      <w:r>
        <w:rPr>
          <w:rFonts w:hint="eastAsia" w:ascii="宋体" w:hAnsi="宋体" w:cs="宋体"/>
          <w:szCs w:val="21"/>
        </w:rPr>
        <w:t>（2）常规周期：小型试验室全套设备标定，3个工作日内完成现场作业，7个工作日内出具全套盖章有效证书及资料；</w:t>
      </w:r>
    </w:p>
    <w:p>
      <w:pPr>
        <w:pStyle w:val="13"/>
        <w:tabs>
          <w:tab w:val="left" w:pos="7589"/>
        </w:tabs>
        <w:spacing w:before="70" w:line="360" w:lineRule="auto"/>
        <w:ind w:left="630"/>
        <w:rPr>
          <w:rFonts w:hint="eastAsia" w:ascii="宋体" w:hAnsi="宋体" w:cs="宋体"/>
          <w:szCs w:val="21"/>
        </w:rPr>
      </w:pPr>
      <w:r>
        <w:rPr>
          <w:rFonts w:hint="eastAsia" w:ascii="宋体" w:hAnsi="宋体" w:cs="宋体"/>
          <w:szCs w:val="21"/>
        </w:rPr>
        <w:t>（3）批量/大型试验室：根据设备数量协商进度，分区域、分批次完成，不影响试验室正常试验工作；</w:t>
      </w:r>
    </w:p>
    <w:p>
      <w:pPr>
        <w:pStyle w:val="13"/>
        <w:tabs>
          <w:tab w:val="left" w:pos="7589"/>
        </w:tabs>
        <w:spacing w:before="70" w:line="360" w:lineRule="auto"/>
        <w:ind w:left="630"/>
        <w:rPr>
          <w:rFonts w:hint="eastAsia" w:ascii="宋体" w:hAnsi="宋体" w:cs="宋体"/>
          <w:szCs w:val="21"/>
        </w:rPr>
      </w:pPr>
      <w:r>
        <w:rPr>
          <w:rFonts w:hint="eastAsia" w:ascii="宋体" w:hAnsi="宋体" w:cs="宋体"/>
          <w:szCs w:val="21"/>
        </w:rPr>
        <w:t>（4）加急要求：遇项目检查、备案、验收紧急情况，乙方须提供加急服务，优先排期、优先出证；</w:t>
      </w:r>
    </w:p>
    <w:p>
      <w:pPr>
        <w:pStyle w:val="13"/>
        <w:tabs>
          <w:tab w:val="left" w:pos="7589"/>
        </w:tabs>
        <w:spacing w:before="70" w:line="360" w:lineRule="auto"/>
        <w:ind w:left="630"/>
        <w:rPr>
          <w:rFonts w:hint="eastAsia" w:ascii="宋体" w:hAnsi="宋体" w:cs="宋体"/>
          <w:szCs w:val="21"/>
        </w:rPr>
      </w:pPr>
      <w:r>
        <w:rPr>
          <w:rFonts w:hint="eastAsia" w:ascii="宋体" w:hAnsi="宋体" w:cs="宋体"/>
          <w:szCs w:val="21"/>
        </w:rPr>
        <w:t>（5）进度管控：作业期间每日同步进度，完工后一次性交付全部资料，无拖延、无分批零散交付。</w:t>
      </w:r>
    </w:p>
    <w:p>
      <w:pPr>
        <w:pStyle w:val="4"/>
        <w:tabs>
          <w:tab w:val="left" w:pos="1784"/>
        </w:tabs>
        <w:spacing w:line="360" w:lineRule="auto"/>
        <w:ind w:firstLine="211" w:firstLineChars="100"/>
        <w:rPr>
          <w:rFonts w:hint="eastAsia" w:ascii="宋体" w:hAnsi="宋体" w:cs="宋体"/>
          <w:sz w:val="21"/>
          <w:szCs w:val="21"/>
        </w:rPr>
      </w:pPr>
      <w:r>
        <w:rPr>
          <w:rFonts w:hint="eastAsia" w:ascii="宋体" w:hAnsi="宋体" w:cs="宋体"/>
          <w:sz w:val="21"/>
          <w:szCs w:val="21"/>
        </w:rPr>
        <w:t>第四条  交付和验收</w:t>
      </w:r>
    </w:p>
    <w:p>
      <w:pPr>
        <w:pStyle w:val="71"/>
        <w:tabs>
          <w:tab w:val="left" w:pos="1000"/>
          <w:tab w:val="left" w:pos="2619"/>
          <w:tab w:val="left" w:pos="5082"/>
          <w:tab w:val="left" w:pos="8547"/>
        </w:tabs>
        <w:spacing w:before="177" w:line="360" w:lineRule="auto"/>
        <w:ind w:left="420" w:leftChars="200" w:right="237" w:firstLine="0" w:firstLineChars="0"/>
        <w:rPr>
          <w:rFonts w:hint="eastAsia" w:ascii="宋体" w:hAnsi="宋体" w:cs="宋体"/>
          <w:szCs w:val="21"/>
        </w:rPr>
      </w:pPr>
      <w:r>
        <w:rPr>
          <w:rFonts w:hint="eastAsia" w:ascii="宋体" w:hAnsi="宋体" w:cs="宋体"/>
          <w:spacing w:val="57"/>
          <w:szCs w:val="21"/>
        </w:rPr>
        <w:t>1.服</w:t>
      </w:r>
      <w:r>
        <w:rPr>
          <w:rFonts w:hint="eastAsia" w:ascii="宋体" w:hAnsi="宋体" w:cs="宋体"/>
          <w:spacing w:val="59"/>
          <w:szCs w:val="21"/>
        </w:rPr>
        <w:t>务</w:t>
      </w:r>
      <w:r>
        <w:rPr>
          <w:rFonts w:hint="eastAsia" w:ascii="宋体" w:hAnsi="宋体" w:cs="宋体"/>
          <w:spacing w:val="57"/>
          <w:szCs w:val="21"/>
        </w:rPr>
        <w:t>期限</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pacing w:val="57"/>
          <w:szCs w:val="21"/>
          <w:u w:val="single"/>
        </w:rPr>
        <w:t>自合同签订之日起至</w:t>
      </w:r>
      <w:r>
        <w:rPr>
          <w:rFonts w:hint="eastAsia" w:ascii="宋体" w:hAnsi="宋体" w:cs="宋体"/>
          <w:szCs w:val="21"/>
        </w:rPr>
        <w:t>，</w:t>
      </w:r>
      <w:r>
        <w:rPr>
          <w:rFonts w:hint="eastAsia" w:ascii="宋体" w:hAnsi="宋体" w:cs="宋体"/>
          <w:spacing w:val="-81"/>
          <w:szCs w:val="21"/>
        </w:rPr>
        <w:t xml:space="preserve"> </w:t>
      </w:r>
      <w:r>
        <w:rPr>
          <w:rFonts w:hint="eastAsia" w:ascii="宋体" w:hAnsi="宋体" w:cs="宋体"/>
          <w:spacing w:val="59"/>
          <w:szCs w:val="21"/>
        </w:rPr>
        <w:t>服</w:t>
      </w:r>
      <w:r>
        <w:rPr>
          <w:rFonts w:hint="eastAsia" w:ascii="宋体" w:hAnsi="宋体" w:cs="宋体"/>
          <w:spacing w:val="57"/>
          <w:szCs w:val="21"/>
        </w:rPr>
        <w:t>务</w:t>
      </w:r>
      <w:r>
        <w:rPr>
          <w:rFonts w:hint="eastAsia" w:ascii="宋体" w:hAnsi="宋体" w:cs="宋体"/>
          <w:spacing w:val="-15"/>
          <w:szCs w:val="21"/>
        </w:rPr>
        <w:t>地</w:t>
      </w:r>
      <w:r>
        <w:rPr>
          <w:rFonts w:hint="eastAsia" w:ascii="宋体" w:hAnsi="宋体" w:cs="宋体"/>
          <w:szCs w:val="21"/>
        </w:rPr>
        <w:t>点</w:t>
      </w:r>
      <w:r>
        <w:rPr>
          <w:rFonts w:hint="eastAsia" w:ascii="宋体" w:hAnsi="宋体" w:cs="宋体"/>
          <w:spacing w:val="-3"/>
          <w:szCs w:val="21"/>
        </w:rPr>
        <w:t>：</w:t>
      </w:r>
      <w:r>
        <w:rPr>
          <w:rFonts w:hint="eastAsia" w:ascii="宋体" w:hAnsi="宋体" w:cs="宋体"/>
          <w:spacing w:val="-3"/>
          <w:szCs w:val="21"/>
          <w:u w:val="single"/>
        </w:rPr>
        <w:t xml:space="preserve">               </w:t>
      </w:r>
      <w:r>
        <w:rPr>
          <w:rFonts w:hint="eastAsia" w:ascii="宋体" w:hAnsi="宋体" w:cs="宋体"/>
          <w:spacing w:val="-3"/>
          <w:szCs w:val="21"/>
          <w:u w:val="single"/>
        </w:rPr>
        <w:tab/>
      </w:r>
      <w:r>
        <w:rPr>
          <w:rFonts w:hint="eastAsia" w:ascii="宋体" w:hAnsi="宋体" w:cs="宋体"/>
          <w:szCs w:val="21"/>
        </w:rPr>
        <w:t>。</w:t>
      </w:r>
    </w:p>
    <w:p>
      <w:pPr>
        <w:pStyle w:val="71"/>
        <w:tabs>
          <w:tab w:val="left" w:pos="943"/>
        </w:tabs>
        <w:spacing w:before="2" w:line="360" w:lineRule="auto"/>
        <w:ind w:left="420" w:leftChars="200" w:right="237" w:firstLine="0" w:firstLineChars="0"/>
        <w:rPr>
          <w:rFonts w:hint="eastAsia" w:ascii="宋体" w:hAnsi="宋体" w:cs="宋体"/>
          <w:szCs w:val="21"/>
        </w:rPr>
      </w:pPr>
      <w:r>
        <w:rPr>
          <w:rFonts w:hint="eastAsia" w:ascii="宋体" w:hAnsi="宋体" w:cs="宋体"/>
          <w:spacing w:val="-6"/>
          <w:szCs w:val="21"/>
        </w:rPr>
        <w:t>2. 乙方应按响应文件的承诺向甲方提供相应的服务，并提供所服务内容的相</w:t>
      </w:r>
      <w:r>
        <w:rPr>
          <w:rFonts w:hint="eastAsia" w:ascii="宋体" w:hAnsi="宋体" w:cs="宋体"/>
          <w:spacing w:val="-3"/>
          <w:szCs w:val="21"/>
        </w:rPr>
        <w:t>关技术资料。</w:t>
      </w:r>
    </w:p>
    <w:p>
      <w:pPr>
        <w:pStyle w:val="71"/>
        <w:tabs>
          <w:tab w:val="left" w:pos="943"/>
        </w:tabs>
        <w:spacing w:before="2" w:line="360" w:lineRule="auto"/>
        <w:ind w:left="420" w:leftChars="200" w:firstLine="0" w:firstLineChars="0"/>
        <w:rPr>
          <w:rFonts w:hint="eastAsia" w:ascii="宋体" w:hAnsi="宋体" w:cs="宋体"/>
          <w:szCs w:val="21"/>
        </w:rPr>
      </w:pPr>
      <w:r>
        <w:rPr>
          <w:rFonts w:hint="eastAsia" w:ascii="宋体" w:hAnsi="宋体" w:cs="宋体"/>
          <w:spacing w:val="-3"/>
          <w:szCs w:val="21"/>
        </w:rPr>
        <w:t>3. 乙方提供不符合响应文件和本合同规定的服务成果，甲方有权拒绝接受。</w:t>
      </w:r>
    </w:p>
    <w:p>
      <w:pPr>
        <w:pStyle w:val="71"/>
        <w:tabs>
          <w:tab w:val="left" w:pos="943"/>
        </w:tabs>
        <w:spacing w:before="43" w:line="360" w:lineRule="auto"/>
        <w:ind w:left="420" w:leftChars="200" w:right="237" w:firstLine="0" w:firstLineChars="0"/>
        <w:rPr>
          <w:rFonts w:hint="eastAsia" w:ascii="宋体" w:hAnsi="宋体" w:cs="宋体"/>
          <w:szCs w:val="21"/>
        </w:rPr>
      </w:pPr>
      <w:r>
        <w:rPr>
          <w:rFonts w:hint="eastAsia" w:ascii="宋体" w:hAnsi="宋体" w:cs="宋体"/>
          <w:spacing w:val="-8"/>
          <w:szCs w:val="21"/>
        </w:rPr>
        <w:t xml:space="preserve">4. 乙方完成服务后应及时书面通知甲方进行验收，甲方应在收到通知后 </w:t>
      </w:r>
      <w:r>
        <w:rPr>
          <w:rFonts w:hint="eastAsia" w:ascii="宋体" w:hAnsi="宋体" w:cs="宋体"/>
          <w:szCs w:val="21"/>
        </w:rPr>
        <w:t>7</w:t>
      </w:r>
      <w:r>
        <w:rPr>
          <w:rFonts w:hint="eastAsia" w:ascii="宋体" w:hAnsi="宋体" w:cs="宋体"/>
          <w:spacing w:val="-33"/>
          <w:szCs w:val="21"/>
        </w:rPr>
        <w:t xml:space="preserve"> 个</w:t>
      </w:r>
      <w:r>
        <w:rPr>
          <w:rFonts w:hint="eastAsia" w:ascii="宋体" w:hAnsi="宋体" w:cs="宋体"/>
          <w:spacing w:val="-7"/>
          <w:szCs w:val="21"/>
        </w:rPr>
        <w:t>工作日内进行验收，逾期不开始验收的，乙方可视同验收合格。验收合格后由甲</w:t>
      </w:r>
      <w:r>
        <w:rPr>
          <w:rFonts w:hint="eastAsia" w:ascii="宋体" w:hAnsi="宋体" w:cs="宋体"/>
          <w:spacing w:val="-3"/>
          <w:szCs w:val="21"/>
        </w:rPr>
        <w:t>乙双方签署验收单并加盖采购人公章，甲乙双方各执一份。</w:t>
      </w:r>
    </w:p>
    <w:p>
      <w:pPr>
        <w:pStyle w:val="71"/>
        <w:tabs>
          <w:tab w:val="left" w:pos="943"/>
        </w:tabs>
        <w:spacing w:before="1" w:line="360" w:lineRule="auto"/>
        <w:ind w:left="420" w:leftChars="200" w:firstLine="0" w:firstLineChars="0"/>
        <w:rPr>
          <w:rFonts w:hint="eastAsia" w:ascii="宋体" w:hAnsi="宋体" w:cs="宋体"/>
          <w:szCs w:val="21"/>
        </w:rPr>
      </w:pPr>
      <w:r>
        <w:rPr>
          <w:rFonts w:hint="eastAsia" w:ascii="宋体" w:hAnsi="宋体" w:cs="宋体"/>
          <w:spacing w:val="-6"/>
          <w:szCs w:val="21"/>
        </w:rPr>
        <w:t>5. 甲乙双方应按照本合同、响应文件验收；</w:t>
      </w:r>
      <w:r>
        <w:rPr>
          <w:rFonts w:hint="eastAsia" w:ascii="宋体" w:hAnsi="宋体" w:cs="宋体"/>
          <w:spacing w:val="-6"/>
          <w:szCs w:val="21"/>
          <w:u w:val="single"/>
        </w:rPr>
        <w:t>属政府采购项目的，应按《广西</w:t>
      </w:r>
      <w:r>
        <w:rPr>
          <w:rFonts w:hint="eastAsia" w:ascii="宋体" w:hAnsi="宋体" w:cs="宋体"/>
          <w:szCs w:val="21"/>
          <w:u w:val="single"/>
        </w:rPr>
        <w:t>壮族自治区政府采购项目履约验收管理办法》规定验收</w:t>
      </w:r>
      <w:r>
        <w:rPr>
          <w:rFonts w:hint="eastAsia" w:ascii="宋体" w:hAnsi="宋体" w:cs="宋体"/>
          <w:szCs w:val="21"/>
        </w:rPr>
        <w:t>。</w:t>
      </w:r>
    </w:p>
    <w:p>
      <w:pPr>
        <w:pStyle w:val="71"/>
        <w:tabs>
          <w:tab w:val="left" w:pos="948"/>
        </w:tabs>
        <w:spacing w:line="360" w:lineRule="auto"/>
        <w:ind w:right="237" w:firstLine="432"/>
        <w:rPr>
          <w:rFonts w:hint="eastAsia" w:ascii="宋体" w:hAnsi="宋体" w:cs="宋体"/>
          <w:szCs w:val="21"/>
        </w:rPr>
      </w:pPr>
      <w:r>
        <w:rPr>
          <w:rFonts w:hint="eastAsia" w:ascii="宋体" w:hAnsi="宋体" w:cs="宋体"/>
          <w:spacing w:val="3"/>
          <w:szCs w:val="21"/>
        </w:rPr>
        <w:t>6.甲方在初步验收或者最终验收过程中如发现乙方提供的服务成果不满足</w:t>
      </w:r>
      <w:r>
        <w:rPr>
          <w:rFonts w:hint="eastAsia" w:ascii="宋体" w:hAnsi="宋体" w:cs="宋体"/>
          <w:spacing w:val="-7"/>
          <w:szCs w:val="21"/>
        </w:rPr>
        <w:t>响应文件及本合同规定的，可暂缓向乙方付款，直到乙方及时完善并提交相应的</w:t>
      </w:r>
      <w:r>
        <w:rPr>
          <w:rFonts w:hint="eastAsia" w:ascii="宋体" w:hAnsi="宋体" w:cs="宋体"/>
          <w:spacing w:val="-3"/>
          <w:szCs w:val="21"/>
        </w:rPr>
        <w:t>服务成果且经甲方验收合格后，方可办理付款。</w:t>
      </w:r>
    </w:p>
    <w:p>
      <w:pPr>
        <w:pStyle w:val="71"/>
        <w:tabs>
          <w:tab w:val="left" w:pos="943"/>
        </w:tabs>
        <w:spacing w:before="3" w:line="360" w:lineRule="auto"/>
        <w:ind w:left="420" w:leftChars="200" w:right="237" w:firstLine="0" w:firstLineChars="0"/>
        <w:rPr>
          <w:rFonts w:hint="eastAsia" w:ascii="宋体" w:hAnsi="宋体" w:cs="宋体"/>
          <w:szCs w:val="21"/>
        </w:rPr>
      </w:pPr>
      <w:r>
        <w:rPr>
          <w:rFonts w:hint="eastAsia" w:ascii="宋体" w:hAnsi="宋体" w:cs="宋体"/>
          <w:spacing w:val="-9"/>
          <w:szCs w:val="21"/>
        </w:rPr>
        <w:t xml:space="preserve">7. 甲方验收时以书面形式提出异议的，乙方应自收到甲方书面异议后 </w:t>
      </w:r>
      <w:r>
        <w:rPr>
          <w:rFonts w:hint="eastAsia" w:ascii="宋体" w:hAnsi="宋体" w:cs="宋体"/>
          <w:szCs w:val="21"/>
        </w:rPr>
        <w:t>5</w:t>
      </w:r>
      <w:r>
        <w:rPr>
          <w:rFonts w:hint="eastAsia" w:ascii="宋体" w:hAnsi="宋体" w:cs="宋体"/>
          <w:spacing w:val="-23"/>
          <w:szCs w:val="21"/>
        </w:rPr>
        <w:t xml:space="preserve"> 个工</w:t>
      </w:r>
      <w:r>
        <w:rPr>
          <w:rFonts w:hint="eastAsia" w:ascii="宋体" w:hAnsi="宋体" w:cs="宋体"/>
          <w:spacing w:val="-6"/>
          <w:szCs w:val="21"/>
        </w:rPr>
        <w:t>作日内及时予以解决，否则甲方有权不出具服务验收合格单。</w:t>
      </w:r>
    </w:p>
    <w:p>
      <w:pPr>
        <w:pStyle w:val="71"/>
        <w:tabs>
          <w:tab w:val="left" w:pos="943"/>
        </w:tabs>
        <w:spacing w:before="3" w:line="360" w:lineRule="auto"/>
        <w:ind w:left="420" w:leftChars="200" w:right="237" w:firstLine="0" w:firstLineChars="0"/>
        <w:rPr>
          <w:rFonts w:ascii="宋体" w:hAnsi="宋体" w:cs="宋体"/>
          <w:spacing w:val="-9"/>
          <w:szCs w:val="21"/>
        </w:rPr>
      </w:pPr>
      <w:bookmarkStart w:id="90" w:name="_Hlk230966619"/>
      <w:r>
        <w:rPr>
          <w:rFonts w:hint="eastAsia" w:ascii="宋体" w:hAnsi="宋体" w:cs="宋体"/>
          <w:spacing w:val="-9"/>
          <w:szCs w:val="21"/>
        </w:rPr>
        <w:t>8. 服务质量与验收标准</w:t>
      </w:r>
    </w:p>
    <w:p>
      <w:pPr>
        <w:pStyle w:val="71"/>
        <w:tabs>
          <w:tab w:val="left" w:pos="943"/>
        </w:tabs>
        <w:spacing w:before="3" w:line="360" w:lineRule="auto"/>
        <w:ind w:left="420" w:leftChars="200" w:right="237" w:firstLine="384"/>
        <w:rPr>
          <w:rFonts w:hint="eastAsia" w:ascii="宋体" w:hAnsi="宋体" w:cs="宋体"/>
          <w:color w:val="FF0000"/>
          <w:spacing w:val="-9"/>
          <w:szCs w:val="21"/>
        </w:rPr>
      </w:pPr>
      <w:r>
        <w:rPr>
          <w:rFonts w:hint="eastAsia" w:ascii="宋体" w:hAnsi="宋体" w:cs="宋体"/>
          <w:color w:val="FF0000"/>
          <w:spacing w:val="-9"/>
          <w:szCs w:val="21"/>
        </w:rPr>
        <w:t>以有效国家计量检定规程（JJG）、国家计量校准规范（JJF）、公路水运工程试验检测行业标准（JTG 系列）作为服务标准依据。</w:t>
      </w:r>
    </w:p>
    <w:p>
      <w:pPr>
        <w:pStyle w:val="71"/>
        <w:numPr>
          <w:ilvl w:val="0"/>
          <w:numId w:val="19"/>
        </w:numPr>
        <w:spacing w:line="360" w:lineRule="auto"/>
        <w:ind w:left="-133" w:firstLine="553" w:firstLineChars="0"/>
        <w:rPr>
          <w:rFonts w:hint="eastAsia" w:ascii="宋体" w:hAnsi="宋体" w:cs="宋体"/>
          <w:szCs w:val="21"/>
        </w:rPr>
      </w:pPr>
      <w:r>
        <w:rPr>
          <w:rFonts w:hint="eastAsia" w:ascii="宋体" w:hAnsi="宋体" w:cs="宋体"/>
          <w:szCs w:val="21"/>
        </w:rPr>
        <w:t>作业质量标准</w:t>
      </w:r>
    </w:p>
    <w:p>
      <w:pPr>
        <w:pStyle w:val="71"/>
        <w:numPr>
          <w:ilvl w:val="0"/>
          <w:numId w:val="20"/>
        </w:numPr>
        <w:spacing w:line="360" w:lineRule="auto"/>
        <w:ind w:left="517" w:firstLine="113" w:firstLineChars="0"/>
        <w:rPr>
          <w:rFonts w:hint="eastAsia" w:ascii="宋体" w:hAnsi="宋体" w:cs="宋体"/>
          <w:szCs w:val="21"/>
        </w:rPr>
      </w:pPr>
      <w:r>
        <w:rPr>
          <w:rFonts w:hint="eastAsia" w:ascii="宋体" w:hAnsi="宋体" w:cs="宋体"/>
          <w:szCs w:val="21"/>
        </w:rPr>
        <w:t>标定流程100%合规，严格按照对应JJG/JJF标准执行，标定点位、量程、精度、误差判定完全符合公路试验检测使用要求；</w:t>
      </w:r>
    </w:p>
    <w:p>
      <w:pPr>
        <w:pStyle w:val="71"/>
        <w:numPr>
          <w:ilvl w:val="0"/>
          <w:numId w:val="20"/>
        </w:numPr>
        <w:spacing w:line="360" w:lineRule="auto"/>
        <w:ind w:left="517" w:firstLine="113" w:firstLineChars="0"/>
        <w:rPr>
          <w:rFonts w:hint="eastAsia" w:ascii="宋体" w:hAnsi="宋体" w:cs="宋体"/>
          <w:szCs w:val="21"/>
        </w:rPr>
      </w:pPr>
      <w:r>
        <w:rPr>
          <w:rFonts w:hint="eastAsia" w:ascii="宋体" w:hAnsi="宋体" w:cs="宋体"/>
          <w:szCs w:val="21"/>
        </w:rPr>
        <w:t>原始记录完整、真实、可追溯，包含环境温湿度、标定时间、操作人员、实测数据、误差计算、设备状态；</w:t>
      </w:r>
    </w:p>
    <w:p>
      <w:pPr>
        <w:pStyle w:val="71"/>
        <w:numPr>
          <w:ilvl w:val="0"/>
          <w:numId w:val="20"/>
        </w:numPr>
        <w:spacing w:line="360" w:lineRule="auto"/>
        <w:ind w:left="517" w:firstLine="113" w:firstLineChars="0"/>
        <w:rPr>
          <w:rFonts w:hint="eastAsia" w:ascii="宋体" w:hAnsi="宋体" w:cs="宋体"/>
          <w:szCs w:val="21"/>
        </w:rPr>
      </w:pPr>
      <w:r>
        <w:rPr>
          <w:rFonts w:hint="eastAsia" w:ascii="宋体" w:hAnsi="宋体" w:cs="宋体"/>
          <w:szCs w:val="21"/>
        </w:rPr>
        <w:t>作业过程中保护甲方设备，不得造成设备损坏、部件丢失、参数错乱，人为损坏由乙方全额赔偿；</w:t>
      </w:r>
    </w:p>
    <w:p>
      <w:pPr>
        <w:pStyle w:val="71"/>
        <w:numPr>
          <w:ilvl w:val="0"/>
          <w:numId w:val="20"/>
        </w:numPr>
        <w:spacing w:line="360" w:lineRule="auto"/>
        <w:ind w:left="517" w:firstLine="113" w:firstLineChars="0"/>
        <w:rPr>
          <w:rFonts w:hint="eastAsia" w:ascii="宋体" w:hAnsi="宋体" w:cs="宋体"/>
          <w:szCs w:val="21"/>
        </w:rPr>
      </w:pPr>
      <w:r>
        <w:rPr>
          <w:rFonts w:hint="eastAsia" w:ascii="宋体" w:hAnsi="宋体" w:cs="宋体"/>
          <w:szCs w:val="21"/>
        </w:rPr>
        <w:t>现场文明施工，遵守试验室管理制度，作业完毕清理现场、恢复设备原状。</w:t>
      </w:r>
    </w:p>
    <w:p>
      <w:pPr>
        <w:pStyle w:val="71"/>
        <w:numPr>
          <w:ilvl w:val="0"/>
          <w:numId w:val="19"/>
        </w:numPr>
        <w:spacing w:line="360" w:lineRule="auto"/>
        <w:ind w:left="-133" w:firstLine="553" w:firstLineChars="0"/>
        <w:rPr>
          <w:rFonts w:hint="eastAsia" w:ascii="宋体" w:hAnsi="宋体" w:cs="宋体"/>
          <w:szCs w:val="21"/>
        </w:rPr>
      </w:pPr>
      <w:r>
        <w:rPr>
          <w:rFonts w:hint="eastAsia" w:ascii="宋体" w:hAnsi="宋体" w:cs="宋体"/>
          <w:szCs w:val="21"/>
        </w:rPr>
        <w:t>成果验收标准</w:t>
      </w:r>
    </w:p>
    <w:p>
      <w:pPr>
        <w:pStyle w:val="71"/>
        <w:numPr>
          <w:ilvl w:val="0"/>
          <w:numId w:val="21"/>
        </w:numPr>
        <w:spacing w:line="360" w:lineRule="auto"/>
        <w:ind w:left="376" w:firstLine="254" w:firstLineChars="0"/>
        <w:rPr>
          <w:rFonts w:hint="eastAsia" w:ascii="宋体" w:hAnsi="宋体" w:cs="宋体"/>
          <w:szCs w:val="21"/>
        </w:rPr>
      </w:pPr>
      <w:r>
        <w:rPr>
          <w:rFonts w:hint="eastAsia" w:ascii="宋体" w:hAnsi="宋体" w:cs="宋体"/>
          <w:szCs w:val="21"/>
        </w:rPr>
        <w:t>资质合规：所有证书带CNAS有效签章、唯一编号，资质范围全覆盖，无超范围标定；</w:t>
      </w:r>
    </w:p>
    <w:p>
      <w:pPr>
        <w:pStyle w:val="71"/>
        <w:numPr>
          <w:ilvl w:val="0"/>
          <w:numId w:val="21"/>
        </w:numPr>
        <w:spacing w:line="360" w:lineRule="auto"/>
        <w:ind w:left="376" w:firstLine="254" w:firstLineChars="0"/>
        <w:rPr>
          <w:rFonts w:hint="eastAsia" w:ascii="宋体" w:hAnsi="宋体" w:cs="宋体"/>
          <w:szCs w:val="21"/>
        </w:rPr>
      </w:pPr>
      <w:r>
        <w:rPr>
          <w:rFonts w:hint="eastAsia" w:ascii="宋体" w:hAnsi="宋体" w:cs="宋体"/>
          <w:szCs w:val="21"/>
        </w:rPr>
        <w:t>数据合格：所有在用设备标定结果满足公路工程检测精度要求，不合格设备需出具专项说明及整改建议；</w:t>
      </w:r>
    </w:p>
    <w:p>
      <w:pPr>
        <w:pStyle w:val="71"/>
        <w:numPr>
          <w:ilvl w:val="0"/>
          <w:numId w:val="21"/>
        </w:numPr>
        <w:spacing w:line="360" w:lineRule="auto"/>
        <w:ind w:left="376" w:firstLine="254" w:firstLineChars="0"/>
        <w:rPr>
          <w:rFonts w:hint="eastAsia" w:ascii="宋体" w:hAnsi="宋体" w:cs="宋体"/>
          <w:szCs w:val="21"/>
        </w:rPr>
      </w:pPr>
      <w:r>
        <w:rPr>
          <w:rFonts w:hint="eastAsia" w:ascii="宋体" w:hAnsi="宋体" w:cs="宋体"/>
          <w:szCs w:val="21"/>
        </w:rPr>
        <w:t>资料齐全：交付校准/检定证书纸质+电子档齐全；</w:t>
      </w:r>
    </w:p>
    <w:p>
      <w:pPr>
        <w:pStyle w:val="71"/>
        <w:numPr>
          <w:ilvl w:val="0"/>
          <w:numId w:val="21"/>
        </w:numPr>
        <w:spacing w:line="360" w:lineRule="auto"/>
        <w:ind w:left="376" w:firstLine="254" w:firstLineChars="0"/>
        <w:rPr>
          <w:rFonts w:hint="eastAsia" w:ascii="宋体" w:hAnsi="宋体" w:cs="宋体"/>
          <w:szCs w:val="21"/>
        </w:rPr>
      </w:pPr>
      <w:r>
        <w:rPr>
          <w:rFonts w:hint="eastAsia" w:ascii="宋体" w:hAnsi="宋体" w:cs="宋体"/>
          <w:szCs w:val="21"/>
        </w:rPr>
        <w:t>核查通过：交付资料必须满足工地试验室备案、日常巡查、质监检查、交工竣工验收要求，通过主管部门核查；</w:t>
      </w:r>
    </w:p>
    <w:p>
      <w:pPr>
        <w:pStyle w:val="71"/>
        <w:numPr>
          <w:ilvl w:val="0"/>
          <w:numId w:val="21"/>
        </w:numPr>
        <w:spacing w:line="360" w:lineRule="auto"/>
        <w:ind w:left="376" w:firstLine="254" w:firstLineChars="0"/>
        <w:rPr>
          <w:rFonts w:hint="eastAsia" w:ascii="宋体" w:hAnsi="宋体" w:cs="宋体"/>
          <w:szCs w:val="21"/>
        </w:rPr>
      </w:pPr>
      <w:r>
        <w:rPr>
          <w:rFonts w:hint="eastAsia" w:ascii="宋体" w:hAnsi="宋体" w:cs="宋体"/>
          <w:szCs w:val="21"/>
        </w:rPr>
        <w:t>标识规范：所有合格设备计量标识配备齐全、信息准确、有效期清晰，与证书台账一一对应。</w:t>
      </w:r>
    </w:p>
    <w:p>
      <w:pPr>
        <w:pStyle w:val="71"/>
        <w:numPr>
          <w:ilvl w:val="0"/>
          <w:numId w:val="19"/>
        </w:numPr>
        <w:spacing w:line="360" w:lineRule="auto"/>
        <w:ind w:left="-133" w:firstLine="553" w:firstLineChars="0"/>
        <w:rPr>
          <w:rFonts w:hint="eastAsia" w:ascii="宋体" w:hAnsi="宋体" w:cs="宋体"/>
          <w:szCs w:val="21"/>
        </w:rPr>
      </w:pPr>
      <w:r>
        <w:rPr>
          <w:rFonts w:hint="eastAsia" w:ascii="宋体" w:hAnsi="宋体" w:cs="宋体"/>
          <w:szCs w:val="21"/>
        </w:rPr>
        <w:t>售后质保与整改要求</w:t>
      </w:r>
    </w:p>
    <w:p>
      <w:pPr>
        <w:pStyle w:val="71"/>
        <w:numPr>
          <w:ilvl w:val="0"/>
          <w:numId w:val="22"/>
        </w:numPr>
        <w:spacing w:line="360" w:lineRule="auto"/>
        <w:ind w:left="376" w:firstLine="254" w:firstLineChars="0"/>
        <w:rPr>
          <w:rFonts w:hint="eastAsia" w:ascii="宋体" w:hAnsi="宋体" w:cs="宋体"/>
          <w:szCs w:val="21"/>
        </w:rPr>
      </w:pPr>
      <w:r>
        <w:rPr>
          <w:rFonts w:hint="eastAsia" w:ascii="宋体" w:hAnsi="宋体" w:cs="宋体"/>
          <w:szCs w:val="21"/>
        </w:rPr>
        <w:t>标定成果质保期不少于12个月，质保期内因乙方标定失误、数据错误、证书问题导致检查不通过，乙方免费重标、重出资料并承担全部责任；</w:t>
      </w:r>
    </w:p>
    <w:p>
      <w:pPr>
        <w:pStyle w:val="71"/>
        <w:numPr>
          <w:ilvl w:val="0"/>
          <w:numId w:val="22"/>
        </w:numPr>
        <w:spacing w:line="360" w:lineRule="auto"/>
        <w:ind w:left="376" w:firstLine="254" w:firstLineChars="0"/>
        <w:rPr>
          <w:rFonts w:hint="eastAsia" w:ascii="宋体" w:hAnsi="宋体" w:cs="宋体"/>
          <w:szCs w:val="21"/>
        </w:rPr>
      </w:pPr>
      <w:r>
        <w:rPr>
          <w:rFonts w:hint="eastAsia" w:ascii="宋体" w:hAnsi="宋体" w:cs="宋体"/>
          <w:szCs w:val="21"/>
        </w:rPr>
        <w:t>甲方对标定数据有异议时，乙方48小时内到场复核、答疑、复检；</w:t>
      </w:r>
    </w:p>
    <w:p>
      <w:pPr>
        <w:pStyle w:val="71"/>
        <w:numPr>
          <w:ilvl w:val="0"/>
          <w:numId w:val="22"/>
        </w:numPr>
        <w:spacing w:line="360" w:lineRule="auto"/>
        <w:ind w:left="376" w:firstLine="254" w:firstLineChars="0"/>
        <w:rPr>
          <w:rFonts w:hint="eastAsia" w:ascii="宋体" w:hAnsi="宋体" w:cs="宋体"/>
          <w:szCs w:val="21"/>
        </w:rPr>
      </w:pPr>
      <w:r>
        <w:rPr>
          <w:rFonts w:hint="eastAsia" w:ascii="宋体" w:hAnsi="宋体" w:cs="宋体"/>
          <w:szCs w:val="21"/>
        </w:rPr>
        <w:t>全程配合项目各类检查、审核答疑，无偿提供技术支撑；</w:t>
      </w:r>
    </w:p>
    <w:p>
      <w:pPr>
        <w:pStyle w:val="71"/>
        <w:numPr>
          <w:ilvl w:val="0"/>
          <w:numId w:val="22"/>
        </w:numPr>
        <w:spacing w:line="360" w:lineRule="auto"/>
        <w:ind w:left="376" w:firstLine="254" w:firstLineChars="0"/>
        <w:rPr>
          <w:rFonts w:hint="eastAsia" w:ascii="宋体" w:hAnsi="宋体" w:cs="宋体"/>
          <w:szCs w:val="21"/>
        </w:rPr>
      </w:pPr>
      <w:r>
        <w:rPr>
          <w:rFonts w:hint="eastAsia" w:ascii="宋体" w:hAnsi="宋体" w:cs="宋体"/>
          <w:szCs w:val="21"/>
        </w:rPr>
        <w:t>验收不合格、资料缺失、标准不符的，乙方须48小时内整改完毕，直至完全合规。</w:t>
      </w:r>
      <w:bookmarkEnd w:id="90"/>
    </w:p>
    <w:p>
      <w:pPr>
        <w:pStyle w:val="4"/>
        <w:tabs>
          <w:tab w:val="left" w:pos="1784"/>
        </w:tabs>
        <w:spacing w:line="360" w:lineRule="auto"/>
        <w:rPr>
          <w:rFonts w:hint="eastAsia" w:ascii="宋体" w:hAnsi="宋体" w:cs="宋体"/>
          <w:sz w:val="21"/>
          <w:szCs w:val="21"/>
        </w:rPr>
      </w:pPr>
      <w:r>
        <w:rPr>
          <w:rFonts w:hint="eastAsia" w:ascii="宋体" w:hAnsi="宋体" w:cs="宋体"/>
          <w:sz w:val="21"/>
          <w:szCs w:val="21"/>
        </w:rPr>
        <w:t>第五条  售后服务及培训</w:t>
      </w:r>
    </w:p>
    <w:p>
      <w:pPr>
        <w:pStyle w:val="71"/>
        <w:tabs>
          <w:tab w:val="left" w:pos="948"/>
        </w:tabs>
        <w:spacing w:before="178" w:line="360" w:lineRule="auto"/>
        <w:ind w:left="420" w:leftChars="200" w:firstLine="0" w:firstLineChars="0"/>
        <w:rPr>
          <w:rFonts w:hint="eastAsia" w:ascii="宋体" w:hAnsi="宋体" w:cs="宋体"/>
          <w:szCs w:val="21"/>
        </w:rPr>
      </w:pPr>
      <w:r>
        <w:rPr>
          <w:rFonts w:hint="eastAsia" w:ascii="宋体" w:hAnsi="宋体" w:cs="宋体"/>
          <w:spacing w:val="4"/>
          <w:szCs w:val="21"/>
        </w:rPr>
        <w:t>1. 乙方应按照国家有关法律法规和</w:t>
      </w:r>
      <w:r>
        <w:rPr>
          <w:rFonts w:hint="eastAsia" w:ascii="宋体" w:hAnsi="宋体" w:cs="宋体"/>
          <w:spacing w:val="3"/>
          <w:szCs w:val="21"/>
          <w:u w:val="single"/>
        </w:rPr>
        <w:t>甲方采购文件采购需求、本合同所附的</w:t>
      </w:r>
      <w:r>
        <w:rPr>
          <w:rFonts w:hint="eastAsia" w:ascii="宋体" w:hAnsi="宋体" w:cs="宋体"/>
          <w:szCs w:val="21"/>
          <w:u w:val="single"/>
        </w:rPr>
        <w:t>《售后服务承诺》要求</w:t>
      </w:r>
      <w:r>
        <w:rPr>
          <w:rFonts w:hint="eastAsia" w:ascii="宋体" w:hAnsi="宋体" w:cs="宋体"/>
          <w:szCs w:val="21"/>
        </w:rPr>
        <w:t>为甲方提供相应的售后服务。</w:t>
      </w:r>
    </w:p>
    <w:p>
      <w:pPr>
        <w:pStyle w:val="71"/>
        <w:tabs>
          <w:tab w:val="left" w:pos="943"/>
        </w:tabs>
        <w:spacing w:line="360" w:lineRule="auto"/>
        <w:ind w:left="420" w:leftChars="200" w:firstLine="0" w:firstLineChars="0"/>
        <w:rPr>
          <w:rFonts w:hint="eastAsia" w:ascii="宋体" w:hAnsi="宋体" w:cs="宋体"/>
          <w:szCs w:val="21"/>
        </w:rPr>
      </w:pPr>
      <w:r>
        <w:rPr>
          <w:rFonts w:hint="eastAsia" w:ascii="宋体" w:hAnsi="宋体" w:cs="宋体"/>
          <w:spacing w:val="-3"/>
          <w:szCs w:val="21"/>
        </w:rPr>
        <w:t>2. 甲方应提供必要测试条件</w:t>
      </w:r>
      <w:r>
        <w:rPr>
          <w:rFonts w:hint="eastAsia" w:ascii="宋体" w:hAnsi="宋体" w:cs="宋体"/>
          <w:szCs w:val="21"/>
        </w:rPr>
        <w:t>（</w:t>
      </w:r>
      <w:r>
        <w:rPr>
          <w:rFonts w:hint="eastAsia" w:ascii="宋体" w:hAnsi="宋体" w:cs="宋体"/>
          <w:spacing w:val="-3"/>
          <w:szCs w:val="21"/>
        </w:rPr>
        <w:t>如场地、电源、水源等</w:t>
      </w:r>
      <w:r>
        <w:rPr>
          <w:rFonts w:hint="eastAsia" w:ascii="宋体" w:hAnsi="宋体" w:cs="宋体"/>
          <w:spacing w:val="-142"/>
          <w:szCs w:val="21"/>
        </w:rPr>
        <w:t>）</w:t>
      </w:r>
      <w:r>
        <w:rPr>
          <w:rFonts w:hint="eastAsia" w:ascii="宋体" w:hAnsi="宋体" w:cs="宋体"/>
          <w:szCs w:val="21"/>
        </w:rPr>
        <w:t>。</w:t>
      </w:r>
    </w:p>
    <w:p>
      <w:pPr>
        <w:pStyle w:val="71"/>
        <w:tabs>
          <w:tab w:val="left" w:pos="943"/>
          <w:tab w:val="left" w:pos="1784"/>
          <w:tab w:val="left" w:pos="9704"/>
        </w:tabs>
        <w:spacing w:line="360" w:lineRule="auto"/>
        <w:ind w:left="420" w:leftChars="200" w:right="98" w:firstLine="0" w:firstLineChars="0"/>
        <w:rPr>
          <w:rFonts w:hint="eastAsia" w:ascii="宋体" w:hAnsi="宋体" w:cs="宋体"/>
          <w:spacing w:val="-20"/>
          <w:szCs w:val="21"/>
        </w:rPr>
      </w:pPr>
      <w:r>
        <w:rPr>
          <w:rFonts w:hint="eastAsia" w:ascii="宋体" w:hAnsi="宋体" w:cs="宋体"/>
          <w:szCs w:val="21"/>
        </w:rPr>
        <w:t>3. 乙</w:t>
      </w:r>
      <w:r>
        <w:rPr>
          <w:rFonts w:hint="eastAsia" w:ascii="宋体" w:hAnsi="宋体" w:cs="宋体"/>
          <w:spacing w:val="-3"/>
          <w:szCs w:val="21"/>
        </w:rPr>
        <w:t>方</w:t>
      </w:r>
      <w:r>
        <w:rPr>
          <w:rFonts w:hint="eastAsia" w:ascii="宋体" w:hAnsi="宋体" w:cs="宋体"/>
          <w:szCs w:val="21"/>
        </w:rPr>
        <w:t>负责</w:t>
      </w:r>
      <w:r>
        <w:rPr>
          <w:rFonts w:hint="eastAsia" w:ascii="宋体" w:hAnsi="宋体" w:cs="宋体"/>
          <w:spacing w:val="-3"/>
          <w:szCs w:val="21"/>
        </w:rPr>
        <w:t>甲</w:t>
      </w:r>
      <w:r>
        <w:rPr>
          <w:rFonts w:hint="eastAsia" w:ascii="宋体" w:hAnsi="宋体" w:cs="宋体"/>
          <w:szCs w:val="21"/>
        </w:rPr>
        <w:t>方有</w:t>
      </w:r>
      <w:r>
        <w:rPr>
          <w:rFonts w:hint="eastAsia" w:ascii="宋体" w:hAnsi="宋体" w:cs="宋体"/>
          <w:spacing w:val="-3"/>
          <w:szCs w:val="21"/>
        </w:rPr>
        <w:t>关</w:t>
      </w:r>
      <w:r>
        <w:rPr>
          <w:rFonts w:hint="eastAsia" w:ascii="宋体" w:hAnsi="宋体" w:cs="宋体"/>
          <w:szCs w:val="21"/>
        </w:rPr>
        <w:t>人员</w:t>
      </w:r>
      <w:r>
        <w:rPr>
          <w:rFonts w:hint="eastAsia" w:ascii="宋体" w:hAnsi="宋体" w:cs="宋体"/>
          <w:spacing w:val="-3"/>
          <w:szCs w:val="21"/>
        </w:rPr>
        <w:t>的</w:t>
      </w:r>
      <w:r>
        <w:rPr>
          <w:rFonts w:hint="eastAsia" w:ascii="宋体" w:hAnsi="宋体" w:cs="宋体"/>
          <w:szCs w:val="21"/>
        </w:rPr>
        <w:t>培训</w:t>
      </w:r>
      <w:r>
        <w:rPr>
          <w:rFonts w:hint="eastAsia" w:ascii="宋体" w:hAnsi="宋体" w:cs="宋体"/>
          <w:spacing w:val="-20"/>
          <w:szCs w:val="21"/>
        </w:rPr>
        <w:t>。</w:t>
      </w:r>
      <w:r>
        <w:rPr>
          <w:rFonts w:hint="eastAsia" w:ascii="宋体" w:hAnsi="宋体" w:cs="宋体"/>
          <w:szCs w:val="21"/>
        </w:rPr>
        <w:t>培</w:t>
      </w:r>
      <w:r>
        <w:rPr>
          <w:rFonts w:hint="eastAsia" w:ascii="宋体" w:hAnsi="宋体" w:cs="宋体"/>
          <w:spacing w:val="-3"/>
          <w:szCs w:val="21"/>
        </w:rPr>
        <w:t>训</w:t>
      </w:r>
      <w:r>
        <w:rPr>
          <w:rFonts w:hint="eastAsia" w:ascii="宋体" w:hAnsi="宋体" w:cs="宋体"/>
          <w:szCs w:val="21"/>
        </w:rPr>
        <w:t>时</w:t>
      </w:r>
      <w:r>
        <w:rPr>
          <w:rFonts w:hint="eastAsia" w:ascii="宋体" w:hAnsi="宋体" w:cs="宋体"/>
          <w:spacing w:val="-3"/>
          <w:szCs w:val="21"/>
        </w:rPr>
        <w:t>间</w:t>
      </w:r>
      <w:r>
        <w:rPr>
          <w:rFonts w:hint="eastAsia" w:ascii="宋体" w:hAnsi="宋体" w:cs="宋体"/>
          <w:spacing w:val="-17"/>
          <w:szCs w:val="21"/>
        </w:rPr>
        <w:t>、</w:t>
      </w:r>
      <w:r>
        <w:rPr>
          <w:rFonts w:hint="eastAsia" w:ascii="宋体" w:hAnsi="宋体" w:cs="宋体"/>
          <w:szCs w:val="21"/>
        </w:rPr>
        <w:t>地</w:t>
      </w:r>
      <w:r>
        <w:rPr>
          <w:rFonts w:hint="eastAsia" w:ascii="宋体" w:hAnsi="宋体" w:cs="宋体"/>
          <w:spacing w:val="-3"/>
          <w:szCs w:val="21"/>
        </w:rPr>
        <w:t>点</w:t>
      </w:r>
      <w:r>
        <w:rPr>
          <w:rFonts w:hint="eastAsia" w:ascii="宋体" w:hAnsi="宋体" w:cs="宋体"/>
          <w:szCs w:val="21"/>
        </w:rPr>
        <w:t>及</w:t>
      </w:r>
      <w:r>
        <w:rPr>
          <w:rFonts w:hint="eastAsia" w:ascii="宋体" w:hAnsi="宋体" w:cs="宋体"/>
          <w:spacing w:val="-3"/>
          <w:szCs w:val="21"/>
        </w:rPr>
        <w:t>要</w:t>
      </w:r>
      <w:r>
        <w:rPr>
          <w:rFonts w:hint="eastAsia" w:ascii="宋体" w:hAnsi="宋体" w:cs="宋体"/>
          <w:szCs w:val="21"/>
        </w:rPr>
        <w:t>求</w:t>
      </w:r>
      <w:r>
        <w:rPr>
          <w:rFonts w:hint="eastAsia" w:ascii="宋体" w:hAnsi="宋体" w:cs="宋体"/>
          <w:spacing w:val="-20"/>
          <w:szCs w:val="21"/>
        </w:rPr>
        <w:t>：</w:t>
      </w:r>
    </w:p>
    <w:p>
      <w:pPr>
        <w:pStyle w:val="4"/>
        <w:tabs>
          <w:tab w:val="left" w:pos="1784"/>
        </w:tabs>
        <w:spacing w:line="360" w:lineRule="auto"/>
        <w:rPr>
          <w:rFonts w:hint="eastAsia" w:ascii="宋体" w:hAnsi="宋体" w:cs="宋体"/>
          <w:sz w:val="21"/>
          <w:szCs w:val="21"/>
        </w:rPr>
      </w:pPr>
      <w:r>
        <w:rPr>
          <w:rFonts w:hint="eastAsia" w:ascii="宋体" w:hAnsi="宋体" w:cs="宋体"/>
          <w:sz w:val="21"/>
          <w:szCs w:val="21"/>
        </w:rPr>
        <w:t>第六条  付款方式</w:t>
      </w:r>
    </w:p>
    <w:p>
      <w:pPr>
        <w:pStyle w:val="4"/>
        <w:tabs>
          <w:tab w:val="left" w:pos="1784"/>
        </w:tabs>
        <w:spacing w:line="360" w:lineRule="auto"/>
        <w:ind w:firstLine="420" w:firstLineChars="200"/>
        <w:rPr>
          <w:rFonts w:hint="eastAsia" w:ascii="宋体" w:hAnsi="宋体" w:cs="宋体"/>
          <w:b w:val="0"/>
          <w:bCs w:val="0"/>
          <w:color w:val="000000"/>
          <w:sz w:val="21"/>
          <w:szCs w:val="21"/>
        </w:rPr>
      </w:pPr>
      <w:r>
        <w:rPr>
          <w:rFonts w:hint="eastAsia" w:ascii="宋体" w:hAnsi="宋体" w:cs="宋体"/>
          <w:b w:val="0"/>
          <w:bCs w:val="0"/>
          <w:color w:val="000000"/>
          <w:sz w:val="21"/>
          <w:szCs w:val="21"/>
        </w:rPr>
        <w:t>付款方式;</w:t>
      </w:r>
      <w:r>
        <w:rPr>
          <w:rFonts w:hint="eastAsia" w:ascii="宋体" w:hAnsi="宋体" w:cs="宋体"/>
          <w:b w:val="0"/>
          <w:bCs w:val="0"/>
          <w:color w:val="000000"/>
          <w:sz w:val="21"/>
          <w:szCs w:val="21"/>
          <w:u w:val="single"/>
        </w:rPr>
        <w:t xml:space="preserve">  本合同无预付款   </w:t>
      </w:r>
      <w:r>
        <w:rPr>
          <w:rFonts w:hint="eastAsia" w:ascii="宋体" w:hAnsi="宋体" w:cs="宋体"/>
          <w:b w:val="0"/>
          <w:bCs w:val="0"/>
          <w:color w:val="000000"/>
          <w:sz w:val="21"/>
          <w:szCs w:val="21"/>
        </w:rPr>
        <w:t>，乙方应先经验收合格并提供采购货物等额的合法增值税普通发票给予甲方作为付款依据，甲方在收到乙方提交的等额合规增值税普通发票后在</w:t>
      </w:r>
      <w:r>
        <w:rPr>
          <w:rFonts w:hint="eastAsia" w:ascii="宋体" w:hAnsi="宋体" w:cs="宋体"/>
          <w:b w:val="0"/>
          <w:bCs w:val="0"/>
          <w:color w:val="000000"/>
          <w:sz w:val="21"/>
          <w:szCs w:val="21"/>
          <w:u w:val="single"/>
        </w:rPr>
        <w:t xml:space="preserve">  15个  </w:t>
      </w:r>
      <w:r>
        <w:rPr>
          <w:rFonts w:hint="eastAsia" w:ascii="宋体" w:hAnsi="宋体" w:cs="宋体"/>
          <w:b w:val="0"/>
          <w:bCs w:val="0"/>
          <w:color w:val="000000"/>
          <w:sz w:val="21"/>
          <w:szCs w:val="21"/>
        </w:rPr>
        <w:t>工作日内向乙方支付采购费用。</w:t>
      </w:r>
    </w:p>
    <w:p>
      <w:pPr>
        <w:tabs>
          <w:tab w:val="left" w:pos="1784"/>
        </w:tabs>
        <w:spacing w:before="1" w:line="360" w:lineRule="auto"/>
        <w:ind w:left="659" w:right="5783" w:hanging="560"/>
        <w:rPr>
          <w:rFonts w:hint="eastAsia" w:ascii="宋体" w:hAnsi="宋体" w:cs="宋体"/>
          <w:b/>
          <w:szCs w:val="21"/>
        </w:rPr>
      </w:pPr>
      <w:r>
        <w:rPr>
          <w:rFonts w:hint="eastAsia" w:ascii="宋体" w:hAnsi="宋体" w:cs="宋体"/>
          <w:b/>
          <w:szCs w:val="21"/>
        </w:rPr>
        <w:t>第七条  履约保证金</w:t>
      </w:r>
    </w:p>
    <w:p>
      <w:pPr>
        <w:pStyle w:val="13"/>
        <w:tabs>
          <w:tab w:val="left" w:pos="9915"/>
        </w:tabs>
        <w:spacing w:before="43" w:line="360" w:lineRule="auto"/>
        <w:ind w:right="169" w:firstLine="416" w:firstLineChars="200"/>
        <w:rPr>
          <w:rFonts w:hint="eastAsia" w:ascii="宋体" w:hAnsi="宋体" w:cs="宋体"/>
          <w:spacing w:val="-3"/>
          <w:szCs w:val="21"/>
        </w:rPr>
      </w:pPr>
      <w:r>
        <w:rPr>
          <w:rFonts w:hint="eastAsia" w:ascii="宋体" w:hAnsi="宋体" w:cs="宋体"/>
          <w:spacing w:val="-1"/>
          <w:szCs w:val="21"/>
        </w:rPr>
        <w:t>本项目无履</w:t>
      </w:r>
      <w:r>
        <w:rPr>
          <w:rFonts w:hint="eastAsia" w:ascii="宋体" w:hAnsi="宋体" w:cs="宋体"/>
          <w:spacing w:val="-3"/>
          <w:szCs w:val="21"/>
        </w:rPr>
        <w:t>约</w:t>
      </w:r>
      <w:r>
        <w:rPr>
          <w:rFonts w:hint="eastAsia" w:ascii="宋体" w:hAnsi="宋体" w:cs="宋体"/>
          <w:spacing w:val="-1"/>
          <w:szCs w:val="21"/>
        </w:rPr>
        <w:t>保证</w:t>
      </w:r>
      <w:r>
        <w:rPr>
          <w:rFonts w:hint="eastAsia" w:ascii="宋体" w:hAnsi="宋体" w:cs="宋体"/>
          <w:spacing w:val="-3"/>
          <w:szCs w:val="21"/>
        </w:rPr>
        <w:t>金。</w:t>
      </w:r>
    </w:p>
    <w:p>
      <w:pPr>
        <w:pStyle w:val="13"/>
        <w:tabs>
          <w:tab w:val="left" w:pos="9915"/>
        </w:tabs>
        <w:spacing w:before="43"/>
        <w:ind w:right="169" w:firstLine="211" w:firstLineChars="100"/>
        <w:rPr>
          <w:rFonts w:hint="eastAsia" w:ascii="宋体" w:hAnsi="宋体" w:cs="宋体"/>
          <w:b/>
          <w:bCs/>
          <w:szCs w:val="21"/>
        </w:rPr>
      </w:pPr>
      <w:r>
        <w:rPr>
          <w:rFonts w:hint="eastAsia" w:ascii="宋体" w:hAnsi="宋体" w:cs="宋体"/>
          <w:b/>
          <w:bCs/>
          <w:szCs w:val="21"/>
        </w:rPr>
        <w:t>第八条  税费</w:t>
      </w:r>
    </w:p>
    <w:p>
      <w:pPr>
        <w:tabs>
          <w:tab w:val="left" w:pos="1784"/>
        </w:tabs>
        <w:spacing w:before="177"/>
        <w:ind w:right="1024" w:firstLine="416" w:firstLineChars="200"/>
        <w:rPr>
          <w:rFonts w:hint="eastAsia" w:ascii="宋体" w:hAnsi="宋体" w:cs="宋体"/>
          <w:szCs w:val="21"/>
        </w:rPr>
      </w:pPr>
      <w:r>
        <w:rPr>
          <w:rFonts w:hint="eastAsia" w:ascii="宋体" w:hAnsi="宋体" w:cs="宋体"/>
          <w:spacing w:val="-1"/>
          <w:szCs w:val="21"/>
        </w:rPr>
        <w:t>本</w:t>
      </w:r>
      <w:r>
        <w:rPr>
          <w:rFonts w:hint="eastAsia" w:ascii="宋体" w:hAnsi="宋体" w:cs="宋体"/>
          <w:spacing w:val="-3"/>
          <w:szCs w:val="21"/>
        </w:rPr>
        <w:t>合</w:t>
      </w:r>
      <w:r>
        <w:rPr>
          <w:rFonts w:hint="eastAsia" w:ascii="宋体" w:hAnsi="宋体" w:cs="宋体"/>
          <w:spacing w:val="-1"/>
          <w:szCs w:val="21"/>
        </w:rPr>
        <w:t>同</w:t>
      </w:r>
      <w:r>
        <w:rPr>
          <w:rFonts w:hint="eastAsia" w:ascii="宋体" w:hAnsi="宋体" w:cs="宋体"/>
          <w:szCs w:val="21"/>
        </w:rPr>
        <w:t>执</w:t>
      </w:r>
      <w:r>
        <w:rPr>
          <w:rFonts w:hint="eastAsia" w:ascii="宋体" w:hAnsi="宋体" w:cs="宋体"/>
          <w:spacing w:val="-3"/>
          <w:szCs w:val="21"/>
        </w:rPr>
        <w:t>行</w:t>
      </w:r>
      <w:r>
        <w:rPr>
          <w:rFonts w:hint="eastAsia" w:ascii="宋体" w:hAnsi="宋体" w:cs="宋体"/>
          <w:szCs w:val="21"/>
        </w:rPr>
        <w:t>中相</w:t>
      </w:r>
      <w:r>
        <w:rPr>
          <w:rFonts w:hint="eastAsia" w:ascii="宋体" w:hAnsi="宋体" w:cs="宋体"/>
          <w:spacing w:val="-3"/>
          <w:szCs w:val="21"/>
        </w:rPr>
        <w:t>关</w:t>
      </w:r>
      <w:r>
        <w:rPr>
          <w:rFonts w:hint="eastAsia" w:ascii="宋体" w:hAnsi="宋体" w:cs="宋体"/>
          <w:szCs w:val="21"/>
        </w:rPr>
        <w:t>的一</w:t>
      </w:r>
      <w:r>
        <w:rPr>
          <w:rFonts w:hint="eastAsia" w:ascii="宋体" w:hAnsi="宋体" w:cs="宋体"/>
          <w:spacing w:val="-3"/>
          <w:szCs w:val="21"/>
        </w:rPr>
        <w:t>切</w:t>
      </w:r>
      <w:r>
        <w:rPr>
          <w:rFonts w:hint="eastAsia" w:ascii="宋体" w:hAnsi="宋体" w:cs="宋体"/>
          <w:szCs w:val="21"/>
        </w:rPr>
        <w:t>税费</w:t>
      </w:r>
      <w:r>
        <w:rPr>
          <w:rFonts w:hint="eastAsia" w:ascii="宋体" w:hAnsi="宋体" w:cs="宋体"/>
          <w:spacing w:val="-3"/>
          <w:szCs w:val="21"/>
        </w:rPr>
        <w:t>均</w:t>
      </w:r>
      <w:r>
        <w:rPr>
          <w:rFonts w:hint="eastAsia" w:ascii="宋体" w:hAnsi="宋体" w:cs="宋体"/>
          <w:szCs w:val="21"/>
        </w:rPr>
        <w:t>由乙</w:t>
      </w:r>
      <w:r>
        <w:rPr>
          <w:rFonts w:hint="eastAsia" w:ascii="宋体" w:hAnsi="宋体" w:cs="宋体"/>
          <w:spacing w:val="-3"/>
          <w:szCs w:val="21"/>
        </w:rPr>
        <w:t>方</w:t>
      </w:r>
      <w:r>
        <w:rPr>
          <w:rFonts w:hint="eastAsia" w:ascii="宋体" w:hAnsi="宋体" w:cs="宋体"/>
          <w:szCs w:val="21"/>
        </w:rPr>
        <w:t>负担</w:t>
      </w:r>
      <w:r>
        <w:rPr>
          <w:rFonts w:hint="eastAsia" w:ascii="宋体" w:hAnsi="宋体" w:cs="宋体"/>
          <w:spacing w:val="-3"/>
          <w:szCs w:val="21"/>
        </w:rPr>
        <w:t>，</w:t>
      </w:r>
      <w:r>
        <w:rPr>
          <w:rFonts w:hint="eastAsia" w:ascii="宋体" w:hAnsi="宋体" w:cs="宋体"/>
          <w:szCs w:val="21"/>
        </w:rPr>
        <w:t>合同</w:t>
      </w:r>
      <w:r>
        <w:rPr>
          <w:rFonts w:hint="eastAsia" w:ascii="宋体" w:hAnsi="宋体" w:cs="宋体"/>
          <w:spacing w:val="-3"/>
          <w:szCs w:val="21"/>
        </w:rPr>
        <w:t>另</w:t>
      </w:r>
      <w:r>
        <w:rPr>
          <w:rFonts w:hint="eastAsia" w:ascii="宋体" w:hAnsi="宋体" w:cs="宋体"/>
          <w:szCs w:val="21"/>
        </w:rPr>
        <w:t>有约</w:t>
      </w:r>
      <w:r>
        <w:rPr>
          <w:rFonts w:hint="eastAsia" w:ascii="宋体" w:hAnsi="宋体" w:cs="宋体"/>
          <w:spacing w:val="-3"/>
          <w:szCs w:val="21"/>
        </w:rPr>
        <w:t>定</w:t>
      </w:r>
      <w:r>
        <w:rPr>
          <w:rFonts w:hint="eastAsia" w:ascii="宋体" w:hAnsi="宋体" w:cs="宋体"/>
          <w:szCs w:val="21"/>
        </w:rPr>
        <w:t>的除</w:t>
      </w:r>
      <w:r>
        <w:rPr>
          <w:rFonts w:hint="eastAsia" w:ascii="宋体" w:hAnsi="宋体" w:cs="宋体"/>
          <w:spacing w:val="-3"/>
          <w:szCs w:val="21"/>
        </w:rPr>
        <w:t>外</w:t>
      </w:r>
      <w:r>
        <w:rPr>
          <w:rFonts w:hint="eastAsia" w:ascii="宋体" w:hAnsi="宋体" w:cs="宋体"/>
          <w:szCs w:val="21"/>
        </w:rPr>
        <w:t>。</w:t>
      </w:r>
    </w:p>
    <w:p>
      <w:pPr>
        <w:tabs>
          <w:tab w:val="left" w:pos="1784"/>
        </w:tabs>
        <w:spacing w:before="177"/>
        <w:ind w:right="1024" w:firstLine="211" w:firstLineChars="100"/>
        <w:rPr>
          <w:rFonts w:hint="eastAsia" w:ascii="宋体" w:hAnsi="宋体" w:cs="宋体"/>
          <w:b/>
          <w:szCs w:val="21"/>
        </w:rPr>
      </w:pPr>
      <w:r>
        <w:rPr>
          <w:rFonts w:hint="eastAsia" w:ascii="宋体" w:hAnsi="宋体" w:cs="宋体"/>
          <w:b/>
          <w:szCs w:val="21"/>
        </w:rPr>
        <w:t>第九条  违约责任</w:t>
      </w:r>
    </w:p>
    <w:p>
      <w:pPr>
        <w:pStyle w:val="19"/>
        <w:spacing w:line="360" w:lineRule="auto"/>
        <w:ind w:firstLine="420" w:firstLineChars="200"/>
        <w:contextualSpacing/>
        <w:rPr>
          <w:rFonts w:hint="eastAsia" w:hAnsi="宋体"/>
          <w:color w:val="000000"/>
          <w:sz w:val="21"/>
        </w:rPr>
      </w:pPr>
      <w:r>
        <w:rPr>
          <w:rFonts w:hint="eastAsia" w:hAnsi="宋体"/>
          <w:color w:val="000000"/>
          <w:sz w:val="21"/>
        </w:rPr>
        <w:t>1.乙方未</w:t>
      </w:r>
      <w:r>
        <w:rPr>
          <w:rFonts w:hint="eastAsia" w:hAnsi="宋体"/>
          <w:sz w:val="21"/>
        </w:rPr>
        <w:t>按照合同规定的时间提供货物的，甲方可要求乙方退还相应的货款并承担违约责任</w:t>
      </w:r>
      <w:r>
        <w:rPr>
          <w:rFonts w:hint="eastAsia" w:hAnsi="宋体"/>
          <w:color w:val="000000"/>
          <w:sz w:val="21"/>
        </w:rPr>
        <w:t xml:space="preserve">。乙方所提供的产品名称、商标品牌、生产厂家、规格型号、技术参数等质量不合格的，应及时更换，更换不及时的按逾期交货支付违约金，乙方应向甲方支付违约货款额 </w:t>
      </w:r>
      <w:r>
        <w:rPr>
          <w:rFonts w:hint="eastAsia" w:hAnsi="宋体"/>
          <w:color w:val="0000FF"/>
          <w:kern w:val="2"/>
          <w:sz w:val="21"/>
          <w:u w:val="single"/>
        </w:rPr>
        <w:t xml:space="preserve">30 </w:t>
      </w:r>
      <w:r>
        <w:rPr>
          <w:rFonts w:hint="eastAsia" w:hAnsi="宋体"/>
          <w:color w:val="000000"/>
          <w:kern w:val="2"/>
          <w:sz w:val="21"/>
          <w:u w:val="single"/>
        </w:rPr>
        <w:t>%违约金</w:t>
      </w:r>
      <w:r>
        <w:rPr>
          <w:rFonts w:hint="eastAsia" w:hAnsi="宋体"/>
          <w:color w:val="000000"/>
          <w:sz w:val="21"/>
        </w:rPr>
        <w:t xml:space="preserve">并赔偿甲方的全部经济损失；因质量问题甲方不同意接收的或者特殊情况甲方同意接收的，乙方应向甲方支付违约货款额 </w:t>
      </w:r>
      <w:r>
        <w:rPr>
          <w:rFonts w:hint="eastAsia" w:hAnsi="宋体"/>
          <w:color w:val="0000FF"/>
          <w:kern w:val="2"/>
          <w:sz w:val="21"/>
          <w:u w:val="single"/>
        </w:rPr>
        <w:t xml:space="preserve"> 30 </w:t>
      </w:r>
      <w:r>
        <w:rPr>
          <w:rFonts w:hint="eastAsia" w:hAnsi="宋体"/>
          <w:color w:val="000000"/>
          <w:kern w:val="2"/>
          <w:sz w:val="21"/>
          <w:u w:val="single"/>
        </w:rPr>
        <w:t>%违约金</w:t>
      </w:r>
      <w:r>
        <w:rPr>
          <w:rFonts w:hint="eastAsia" w:hAnsi="宋体"/>
          <w:color w:val="000000"/>
          <w:sz w:val="21"/>
        </w:rPr>
        <w:t>并赔偿甲方的全部经济损失。</w:t>
      </w:r>
      <w:r>
        <w:rPr>
          <w:rFonts w:hint="eastAsia" w:hAnsi="宋体"/>
          <w:color w:val="FF0000"/>
          <w:sz w:val="21"/>
        </w:rPr>
        <w:t xml:space="preserve"> </w:t>
      </w:r>
      <w:r>
        <w:rPr>
          <w:rFonts w:hint="eastAsia" w:hAnsi="宋体"/>
          <w:color w:val="000000"/>
          <w:sz w:val="21"/>
        </w:rPr>
        <w:t xml:space="preserve">                           </w:t>
      </w:r>
    </w:p>
    <w:p>
      <w:pPr>
        <w:pStyle w:val="19"/>
        <w:spacing w:line="360" w:lineRule="auto"/>
        <w:ind w:firstLine="420" w:firstLineChars="200"/>
        <w:contextualSpacing/>
        <w:rPr>
          <w:rFonts w:hAnsi="宋体"/>
          <w:color w:val="000000"/>
          <w:sz w:val="21"/>
        </w:rPr>
      </w:pPr>
      <w:r>
        <w:rPr>
          <w:rFonts w:hint="eastAsia" w:hAnsi="宋体"/>
          <w:color w:val="000000"/>
          <w:sz w:val="21"/>
        </w:rPr>
        <w:t>2.乙方提供的货物如侵犯了第三方合法权益而引发的任何纠纷或者诉讼，均由乙方负责交涉并承担全部责任</w:t>
      </w:r>
      <w:r>
        <w:rPr>
          <w:rFonts w:hint="eastAsia" w:hAnsi="宋体"/>
          <w:color w:val="0000FF"/>
          <w:kern w:val="2"/>
          <w:sz w:val="21"/>
          <w:u w:val="single"/>
        </w:rPr>
        <w:t>；</w:t>
      </w:r>
      <w:r>
        <w:rPr>
          <w:rFonts w:hint="eastAsia" w:hAnsi="宋体"/>
          <w:color w:val="000000"/>
          <w:kern w:val="2"/>
          <w:sz w:val="21"/>
          <w:u w:val="single"/>
        </w:rPr>
        <w:t>由此造成甲方必须参加诉讼或参与处理而产生各项费用（包括但不限于律师费、差旅费、评估费、鉴定费等）及损失的，由乙方向甲方赔偿所产生的各项费用及损失。</w:t>
      </w:r>
    </w:p>
    <w:p>
      <w:pPr>
        <w:pStyle w:val="19"/>
        <w:spacing w:line="360" w:lineRule="auto"/>
        <w:ind w:firstLine="420" w:firstLineChars="200"/>
        <w:contextualSpacing/>
        <w:rPr>
          <w:rFonts w:hint="eastAsia" w:hAnsi="宋体"/>
          <w:color w:val="000000"/>
          <w:sz w:val="21"/>
        </w:rPr>
      </w:pPr>
      <w:r>
        <w:rPr>
          <w:rFonts w:hint="eastAsia" w:hAnsi="宋体"/>
          <w:color w:val="000000"/>
          <w:sz w:val="21"/>
        </w:rPr>
        <w:t>3.因包装、运输引起的货物损坏，按质量不合格违约处理。</w:t>
      </w:r>
    </w:p>
    <w:p>
      <w:pPr>
        <w:pStyle w:val="19"/>
        <w:spacing w:line="360" w:lineRule="auto"/>
        <w:ind w:firstLine="420" w:firstLineChars="200"/>
        <w:contextualSpacing/>
        <w:rPr>
          <w:rFonts w:hint="eastAsia" w:hAnsi="宋体"/>
          <w:color w:val="000000"/>
          <w:sz w:val="21"/>
        </w:rPr>
      </w:pPr>
      <w:r>
        <w:rPr>
          <w:rFonts w:hint="eastAsia" w:hAnsi="宋体"/>
          <w:color w:val="000000"/>
          <w:sz w:val="21"/>
        </w:rPr>
        <w:t>4.</w:t>
      </w:r>
      <w:r>
        <w:rPr>
          <w:rFonts w:hint="eastAsia" w:hAnsi="宋体"/>
          <w:color w:val="000000"/>
          <w:kern w:val="2"/>
          <w:sz w:val="21"/>
          <w:u w:val="single"/>
        </w:rPr>
        <w:t>甲方无故延期接收货物、</w:t>
      </w:r>
      <w:r>
        <w:rPr>
          <w:rFonts w:hint="eastAsia" w:hAnsi="宋体"/>
          <w:color w:val="000000"/>
          <w:sz w:val="21"/>
        </w:rPr>
        <w:t>乙方逾期交货的，每天向对方偿付违约货款额</w:t>
      </w:r>
      <w:r>
        <w:rPr>
          <w:rFonts w:hint="eastAsia" w:hAnsi="宋体"/>
          <w:color w:val="0000FF"/>
          <w:kern w:val="2"/>
          <w:sz w:val="21"/>
          <w:u w:val="single"/>
        </w:rPr>
        <w:t xml:space="preserve"> 5 ‰</w:t>
      </w:r>
      <w:r>
        <w:rPr>
          <w:rFonts w:hint="eastAsia" w:hAnsi="宋体"/>
          <w:color w:val="000000"/>
          <w:kern w:val="2"/>
          <w:sz w:val="21"/>
          <w:u w:val="single"/>
        </w:rPr>
        <w:t>违约金，</w:t>
      </w:r>
      <w:r>
        <w:rPr>
          <w:rFonts w:hint="eastAsia" w:hAnsi="宋体"/>
          <w:color w:val="000000"/>
          <w:sz w:val="21"/>
        </w:rPr>
        <w:t>但违约金累计不得超过违约货款额</w:t>
      </w:r>
      <w:r>
        <w:rPr>
          <w:rFonts w:hint="eastAsia" w:hAnsi="宋体"/>
          <w:color w:val="000000"/>
          <w:sz w:val="21"/>
          <w:u w:val="single"/>
        </w:rPr>
        <w:t xml:space="preserve">  30 </w:t>
      </w:r>
      <w:r>
        <w:rPr>
          <w:rFonts w:hint="eastAsia" w:hAnsi="宋体"/>
          <w:color w:val="0000FF"/>
          <w:kern w:val="2"/>
          <w:sz w:val="21"/>
          <w:u w:val="single"/>
        </w:rPr>
        <w:t>%；</w:t>
      </w:r>
      <w:r>
        <w:rPr>
          <w:rFonts w:hint="eastAsia" w:hAnsi="宋体"/>
          <w:color w:val="000000"/>
          <w:sz w:val="21"/>
        </w:rPr>
        <w:t>超过</w:t>
      </w:r>
      <w:r>
        <w:rPr>
          <w:rFonts w:hint="eastAsia" w:hAnsi="宋体"/>
          <w:color w:val="0000FF"/>
          <w:kern w:val="2"/>
          <w:sz w:val="21"/>
          <w:u w:val="single"/>
        </w:rPr>
        <w:t xml:space="preserve"> 30 天</w:t>
      </w:r>
      <w:r>
        <w:rPr>
          <w:rFonts w:hint="eastAsia" w:hAnsi="宋体"/>
          <w:color w:val="000000"/>
          <w:sz w:val="21"/>
        </w:rPr>
        <w:t>对方有权解除合同，违约方承担因此给对方造成经济损失；甲方延期付货款的，每天向乙方偿付延期货款额</w:t>
      </w:r>
      <w:r>
        <w:rPr>
          <w:rFonts w:hint="eastAsia" w:hAnsi="宋体"/>
          <w:color w:val="0000FF"/>
          <w:kern w:val="2"/>
          <w:sz w:val="21"/>
          <w:u w:val="single"/>
        </w:rPr>
        <w:t xml:space="preserve"> 5 ‰</w:t>
      </w:r>
      <w:r>
        <w:rPr>
          <w:rFonts w:hint="eastAsia" w:hAnsi="宋体"/>
          <w:color w:val="000000"/>
          <w:sz w:val="21"/>
          <w:u w:val="single"/>
        </w:rPr>
        <w:t>滞</w:t>
      </w:r>
      <w:r>
        <w:rPr>
          <w:rFonts w:hint="eastAsia" w:hAnsi="宋体"/>
          <w:color w:val="000000"/>
          <w:sz w:val="21"/>
        </w:rPr>
        <w:t>纳金，但滞纳金累计不得超过延期货款额</w:t>
      </w:r>
      <w:r>
        <w:rPr>
          <w:rFonts w:hint="eastAsia" w:hAnsi="宋体"/>
          <w:color w:val="000000"/>
          <w:sz w:val="21"/>
          <w:u w:val="single"/>
        </w:rPr>
        <w:t xml:space="preserve">  30  </w:t>
      </w:r>
      <w:r>
        <w:rPr>
          <w:rFonts w:hint="eastAsia" w:hAnsi="宋体"/>
          <w:color w:val="0000FF"/>
          <w:kern w:val="2"/>
          <w:sz w:val="21"/>
          <w:u w:val="single"/>
        </w:rPr>
        <w:t>%</w:t>
      </w:r>
      <w:r>
        <w:rPr>
          <w:rFonts w:hint="eastAsia" w:hAnsi="宋体"/>
          <w:color w:val="000000"/>
          <w:sz w:val="21"/>
        </w:rPr>
        <w:t>。</w:t>
      </w:r>
    </w:p>
    <w:p>
      <w:pPr>
        <w:pStyle w:val="19"/>
        <w:spacing w:line="360" w:lineRule="auto"/>
        <w:ind w:firstLine="420" w:firstLineChars="200"/>
        <w:contextualSpacing/>
        <w:rPr>
          <w:rFonts w:hint="eastAsia" w:hAnsi="宋体"/>
          <w:color w:val="000000"/>
          <w:sz w:val="21"/>
        </w:rPr>
      </w:pPr>
      <w:r>
        <w:rPr>
          <w:rFonts w:hint="eastAsia" w:hAnsi="宋体"/>
          <w:color w:val="000000"/>
          <w:sz w:val="21"/>
        </w:rPr>
        <w:t xml:space="preserve">5. 乙方未按本合同和响应文件中规定的服务承诺提供售后服务的，乙方应按本合同合计金额 </w:t>
      </w:r>
      <w:r>
        <w:rPr>
          <w:rFonts w:hint="eastAsia" w:hAnsi="宋体"/>
          <w:color w:val="000000"/>
          <w:sz w:val="21"/>
          <w:u w:val="single"/>
        </w:rPr>
        <w:t xml:space="preserve">  30  </w:t>
      </w:r>
      <w:r>
        <w:rPr>
          <w:rFonts w:hint="eastAsia" w:hAnsi="宋体"/>
          <w:color w:val="0000FF"/>
          <w:kern w:val="2"/>
          <w:sz w:val="21"/>
          <w:u w:val="single"/>
        </w:rPr>
        <w:t>%</w:t>
      </w:r>
      <w:r>
        <w:rPr>
          <w:rFonts w:hint="eastAsia" w:hAnsi="宋体"/>
          <w:color w:val="000000"/>
          <w:sz w:val="21"/>
        </w:rPr>
        <w:t>向甲方支付违约金。</w:t>
      </w:r>
    </w:p>
    <w:p>
      <w:pPr>
        <w:pStyle w:val="19"/>
        <w:spacing w:line="360" w:lineRule="auto"/>
        <w:ind w:firstLine="420" w:firstLineChars="200"/>
        <w:contextualSpacing/>
        <w:rPr>
          <w:rFonts w:hint="eastAsia" w:hAnsi="宋体"/>
          <w:color w:val="000000"/>
          <w:sz w:val="21"/>
        </w:rPr>
      </w:pPr>
      <w:r>
        <w:rPr>
          <w:rFonts w:hint="eastAsia" w:hAnsi="宋体"/>
          <w:color w:val="000000"/>
          <w:sz w:val="21"/>
        </w:rPr>
        <w:t>6. 乙方提供的货物在保修期内，因设计、工艺或者材料的缺陷和其它质量原因造成的问题，由乙方负责，费用从余款或者履约保证金中扣除，不足另补。</w:t>
      </w:r>
    </w:p>
    <w:p>
      <w:pPr>
        <w:pStyle w:val="19"/>
        <w:spacing w:line="360" w:lineRule="auto"/>
        <w:ind w:firstLine="420" w:firstLineChars="200"/>
        <w:contextualSpacing/>
        <w:rPr>
          <w:rFonts w:hint="eastAsia" w:hAnsi="宋体"/>
          <w:color w:val="000000"/>
          <w:sz w:val="21"/>
        </w:rPr>
      </w:pPr>
      <w:r>
        <w:rPr>
          <w:rFonts w:hint="eastAsia" w:hAnsi="宋体"/>
          <w:color w:val="000000"/>
          <w:sz w:val="21"/>
        </w:rPr>
        <w:t>7. 乙方提供的产品或服务因质量不合格造成甲方或第三人损失的，由乙方承担违约赔偿责任；甲乙双方有其它违约行为的，由违约方向对方支付违约行为涉及货款额的</w:t>
      </w:r>
      <w:r>
        <w:rPr>
          <w:rFonts w:hint="eastAsia" w:hAnsi="宋体"/>
          <w:color w:val="000000"/>
          <w:sz w:val="21"/>
          <w:u w:val="single"/>
        </w:rPr>
        <w:t xml:space="preserve">  30  </w:t>
      </w:r>
      <w:r>
        <w:rPr>
          <w:rFonts w:hint="eastAsia" w:hAnsi="宋体"/>
          <w:color w:val="0000FF"/>
          <w:kern w:val="2"/>
          <w:sz w:val="21"/>
          <w:u w:val="single"/>
        </w:rPr>
        <w:t>%</w:t>
      </w:r>
      <w:r>
        <w:rPr>
          <w:rFonts w:hint="eastAsia" w:hAnsi="宋体"/>
          <w:color w:val="000000"/>
          <w:sz w:val="21"/>
        </w:rPr>
        <w:t>，违约行为涉及货款额的</w:t>
      </w:r>
      <w:r>
        <w:rPr>
          <w:rFonts w:hint="eastAsia" w:hAnsi="宋体"/>
          <w:color w:val="000000"/>
          <w:sz w:val="21"/>
          <w:u w:val="single"/>
        </w:rPr>
        <w:t xml:space="preserve">  30  </w:t>
      </w:r>
      <w:r>
        <w:rPr>
          <w:rFonts w:hint="eastAsia" w:hAnsi="宋体"/>
          <w:color w:val="0000FF"/>
          <w:kern w:val="2"/>
          <w:sz w:val="21"/>
          <w:u w:val="single"/>
        </w:rPr>
        <w:t>%</w:t>
      </w:r>
      <w:r>
        <w:rPr>
          <w:rFonts w:hint="eastAsia" w:hAnsi="宋体"/>
          <w:color w:val="000000"/>
          <w:sz w:val="21"/>
        </w:rPr>
        <w:t>不足以赔偿经济损失的按实际赔偿。</w:t>
      </w:r>
    </w:p>
    <w:p>
      <w:pPr>
        <w:pStyle w:val="19"/>
        <w:spacing w:line="360" w:lineRule="auto"/>
        <w:ind w:firstLine="420" w:firstLineChars="200"/>
        <w:contextualSpacing/>
        <w:rPr>
          <w:rFonts w:hint="eastAsia" w:hAnsi="宋体"/>
          <w:color w:val="000000"/>
          <w:sz w:val="21"/>
        </w:rPr>
      </w:pPr>
      <w:r>
        <w:rPr>
          <w:rFonts w:hint="eastAsia" w:hAnsi="宋体"/>
          <w:color w:val="000000"/>
          <w:sz w:val="21"/>
        </w:rPr>
        <w:t xml:space="preserve"> 8.因任何一方的违约行为引起诉讼的，由违约方承担守约方为实现债权而产生的全部费用（包括但不限于律师费、诉讼费、调查费、公告费、复印费、申请保全费、诉讼保全保险费、申请执行费、交通费、差旅费、评估费、鉴定费、证人出庭费用、协助执行悬赏费等费用）。</w:t>
      </w:r>
    </w:p>
    <w:p>
      <w:pPr>
        <w:pStyle w:val="19"/>
        <w:spacing w:line="360" w:lineRule="auto"/>
        <w:ind w:firstLine="420" w:firstLineChars="200"/>
        <w:contextualSpacing/>
        <w:rPr>
          <w:rFonts w:hint="eastAsia" w:hAnsi="宋体"/>
          <w:color w:val="000000"/>
          <w:sz w:val="21"/>
        </w:rPr>
      </w:pPr>
      <w:r>
        <w:rPr>
          <w:rFonts w:hint="eastAsia" w:hAnsi="宋体"/>
          <w:color w:val="000000"/>
          <w:sz w:val="21"/>
        </w:rPr>
        <w:t>9.其他违约责任约定：</w:t>
      </w:r>
      <w:r>
        <w:rPr>
          <w:rFonts w:hint="eastAsia" w:hAnsi="宋体"/>
          <w:color w:val="000000"/>
          <w:sz w:val="21"/>
          <w:u w:val="single"/>
        </w:rPr>
        <w:t xml:space="preserve">             无              </w:t>
      </w:r>
      <w:r>
        <w:rPr>
          <w:rFonts w:hint="eastAsia" w:hAnsi="宋体"/>
          <w:color w:val="000000"/>
          <w:sz w:val="21"/>
        </w:rPr>
        <w:t xml:space="preserve"> 。</w:t>
      </w:r>
    </w:p>
    <w:p>
      <w:pPr>
        <w:pStyle w:val="19"/>
        <w:spacing w:line="360" w:lineRule="auto"/>
        <w:contextualSpacing/>
        <w:rPr>
          <w:rFonts w:hint="eastAsia" w:hAnsi="宋体"/>
          <w:b/>
          <w:color w:val="000000"/>
          <w:sz w:val="21"/>
        </w:rPr>
      </w:pPr>
      <w:r>
        <w:rPr>
          <w:rFonts w:hint="eastAsia" w:hAnsi="宋体"/>
          <w:b/>
          <w:color w:val="000000"/>
          <w:sz w:val="21"/>
        </w:rPr>
        <w:t>第十条  不可抗力事件处理</w:t>
      </w:r>
    </w:p>
    <w:p>
      <w:pPr>
        <w:pStyle w:val="19"/>
        <w:spacing w:line="360" w:lineRule="auto"/>
        <w:ind w:firstLine="420" w:firstLineChars="200"/>
        <w:contextualSpacing/>
        <w:rPr>
          <w:rFonts w:hint="eastAsia" w:hAnsi="宋体"/>
          <w:color w:val="000000"/>
          <w:sz w:val="21"/>
        </w:rPr>
      </w:pPr>
      <w:r>
        <w:rPr>
          <w:rFonts w:hint="eastAsia" w:hAnsi="宋体"/>
          <w:color w:val="000000"/>
          <w:sz w:val="21"/>
        </w:rPr>
        <w:t>1.在合同有效期内，任何一方因不可抗力事件导致不能履行合同，则合同履行期可延长，其延长期与不可抗力影响期相同。</w:t>
      </w:r>
    </w:p>
    <w:p>
      <w:pPr>
        <w:pStyle w:val="19"/>
        <w:spacing w:line="360" w:lineRule="auto"/>
        <w:ind w:firstLine="420" w:firstLineChars="200"/>
        <w:contextualSpacing/>
        <w:rPr>
          <w:rFonts w:hint="eastAsia" w:hAnsi="宋体"/>
          <w:color w:val="000000"/>
          <w:sz w:val="21"/>
        </w:rPr>
      </w:pPr>
      <w:r>
        <w:rPr>
          <w:rFonts w:hint="eastAsia" w:hAnsi="宋体"/>
          <w:color w:val="000000"/>
          <w:sz w:val="21"/>
        </w:rPr>
        <w:t>2.不可抗力事件发生后，应立即通知对方，并寄送有关权威机构出具的证明。</w:t>
      </w:r>
    </w:p>
    <w:p>
      <w:pPr>
        <w:spacing w:line="360" w:lineRule="auto"/>
        <w:ind w:firstLine="420" w:firstLineChars="200"/>
        <w:contextualSpacing/>
        <w:rPr>
          <w:rFonts w:hint="eastAsia" w:ascii="宋体" w:hAnsi="宋体"/>
          <w:color w:val="000000"/>
          <w:szCs w:val="21"/>
        </w:rPr>
      </w:pPr>
      <w:r>
        <w:rPr>
          <w:rFonts w:hint="eastAsia" w:ascii="宋体" w:hAnsi="宋体"/>
          <w:color w:val="000000"/>
          <w:szCs w:val="21"/>
        </w:rPr>
        <w:t>3.不可抗力事件延续一百二十天以上，双方应通过友好协商，确定是否继续履行合同。</w:t>
      </w:r>
    </w:p>
    <w:p>
      <w:pPr>
        <w:spacing w:line="360" w:lineRule="auto"/>
        <w:contextualSpacing/>
        <w:rPr>
          <w:rFonts w:hint="eastAsia" w:ascii="宋体" w:hAnsi="宋体"/>
          <w:color w:val="000000"/>
          <w:szCs w:val="21"/>
        </w:rPr>
      </w:pPr>
      <w:r>
        <w:rPr>
          <w:rFonts w:hint="eastAsia" w:ascii="宋体" w:hAnsi="宋体"/>
          <w:b/>
          <w:color w:val="000000"/>
          <w:szCs w:val="21"/>
        </w:rPr>
        <w:t>第十一条  合同争议解决</w:t>
      </w:r>
    </w:p>
    <w:p>
      <w:pPr>
        <w:spacing w:line="360" w:lineRule="auto"/>
        <w:ind w:firstLine="420" w:firstLineChars="200"/>
        <w:contextualSpacing/>
        <w:rPr>
          <w:rFonts w:hint="eastAsia" w:ascii="宋体" w:hAnsi="宋体"/>
          <w:color w:val="000000"/>
          <w:szCs w:val="21"/>
        </w:rPr>
      </w:pPr>
      <w:r>
        <w:rPr>
          <w:rFonts w:hint="eastAsia" w:ascii="宋体" w:hAnsi="宋体"/>
          <w:color w:val="000000"/>
          <w:szCs w:val="21"/>
        </w:rPr>
        <w:t>1. 因货物质量问题发生争议的，应邀请国家认可的质量检测机构对货物质量进行鉴定。货物符合标准的，鉴定费由甲方承担；货物不符合标准的，鉴定费由乙方承担。</w:t>
      </w:r>
    </w:p>
    <w:p>
      <w:pPr>
        <w:spacing w:line="360" w:lineRule="auto"/>
        <w:ind w:firstLine="420" w:firstLineChars="200"/>
        <w:contextualSpacing/>
        <w:rPr>
          <w:rFonts w:hint="eastAsia" w:ascii="宋体" w:hAnsi="宋体"/>
          <w:color w:val="000000"/>
          <w:szCs w:val="21"/>
        </w:rPr>
      </w:pPr>
      <w:r>
        <w:rPr>
          <w:rFonts w:hint="eastAsia" w:ascii="宋体" w:hAnsi="宋体"/>
          <w:color w:val="000000"/>
          <w:szCs w:val="21"/>
        </w:rPr>
        <w:t>2. 因履行本合同引起的或者与本合同有关的争议，甲乙双方应首先通过友好协商解决，如果协商不能解决，</w:t>
      </w:r>
      <w:r>
        <w:rPr>
          <w:rFonts w:hint="eastAsia" w:ascii="宋体" w:hAnsi="宋体" w:cs="宋体"/>
          <w:color w:val="000000"/>
          <w:szCs w:val="21"/>
        </w:rPr>
        <w:t>可向</w:t>
      </w:r>
      <w:r>
        <w:rPr>
          <w:rFonts w:hint="eastAsia" w:ascii="宋体" w:hAnsi="宋体"/>
          <w:color w:val="000000"/>
          <w:szCs w:val="21"/>
          <w:u w:val="single"/>
        </w:rPr>
        <w:t>甲方所</w:t>
      </w:r>
      <w:r>
        <w:rPr>
          <w:rFonts w:hint="eastAsia" w:ascii="宋体" w:hAnsi="宋体" w:cs="宋体"/>
          <w:color w:val="000000"/>
          <w:szCs w:val="21"/>
        </w:rPr>
        <w:t>在地有管辖权的人民法院提起诉讼。</w:t>
      </w:r>
    </w:p>
    <w:p>
      <w:pPr>
        <w:spacing w:line="360" w:lineRule="auto"/>
        <w:ind w:left="-61" w:firstLine="514"/>
        <w:contextualSpacing/>
        <w:rPr>
          <w:rFonts w:hint="eastAsia" w:ascii="宋体" w:hAnsi="宋体"/>
          <w:color w:val="000000"/>
          <w:szCs w:val="21"/>
        </w:rPr>
      </w:pPr>
      <w:r>
        <w:rPr>
          <w:rFonts w:hint="eastAsia" w:ascii="宋体" w:hAnsi="宋体"/>
          <w:color w:val="000000"/>
          <w:szCs w:val="21"/>
        </w:rPr>
        <w:t>3.诉讼期间，本合同继续履行。</w:t>
      </w:r>
    </w:p>
    <w:p>
      <w:pPr>
        <w:pStyle w:val="19"/>
        <w:spacing w:line="360" w:lineRule="auto"/>
        <w:contextualSpacing/>
        <w:rPr>
          <w:rFonts w:hint="eastAsia" w:hAnsi="宋体"/>
          <w:b/>
          <w:color w:val="000000"/>
          <w:sz w:val="21"/>
        </w:rPr>
      </w:pPr>
      <w:r>
        <w:rPr>
          <w:rFonts w:hint="eastAsia" w:hAnsi="宋体"/>
          <w:b/>
          <w:color w:val="000000"/>
          <w:sz w:val="21"/>
        </w:rPr>
        <w:t>第十二条  合同生效及其它</w:t>
      </w:r>
    </w:p>
    <w:p>
      <w:pPr>
        <w:pStyle w:val="19"/>
        <w:spacing w:line="360" w:lineRule="auto"/>
        <w:ind w:firstLine="420" w:firstLineChars="200"/>
        <w:contextualSpacing/>
        <w:rPr>
          <w:rFonts w:hint="eastAsia" w:hAnsi="宋体"/>
          <w:bCs/>
          <w:color w:val="000000"/>
          <w:sz w:val="21"/>
        </w:rPr>
      </w:pPr>
      <w:r>
        <w:rPr>
          <w:rFonts w:hint="eastAsia" w:hAnsi="宋体"/>
          <w:bCs/>
          <w:color w:val="000000"/>
          <w:sz w:val="21"/>
        </w:rPr>
        <w:t>1. 本合同经双方法定代表人或者委托代理人签字并加盖单位公章后生效。</w:t>
      </w:r>
    </w:p>
    <w:p>
      <w:pPr>
        <w:pStyle w:val="19"/>
        <w:spacing w:line="360" w:lineRule="auto"/>
        <w:ind w:firstLine="420" w:firstLineChars="200"/>
        <w:contextualSpacing/>
        <w:rPr>
          <w:rFonts w:hint="eastAsia" w:hAnsi="宋体"/>
          <w:bCs/>
          <w:color w:val="FF0000"/>
          <w:sz w:val="21"/>
          <w:u w:val="single"/>
        </w:rPr>
      </w:pPr>
      <w:r>
        <w:rPr>
          <w:rFonts w:hint="eastAsia" w:hAnsi="宋体"/>
          <w:bCs/>
          <w:color w:val="000000"/>
          <w:sz w:val="21"/>
        </w:rPr>
        <w:t>2.本合同执行中涉及采购资金和采购内容修改或者补充的，甲乙双方须签订书面补充协议，作为本合同不可分割的一部分。</w:t>
      </w:r>
    </w:p>
    <w:p>
      <w:pPr>
        <w:spacing w:line="360" w:lineRule="auto"/>
        <w:ind w:firstLine="420" w:firstLineChars="200"/>
        <w:contextualSpacing/>
        <w:rPr>
          <w:rFonts w:ascii="宋体" w:hAnsi="宋体"/>
          <w:bCs/>
          <w:color w:val="000000"/>
          <w:szCs w:val="21"/>
        </w:rPr>
      </w:pPr>
      <w:r>
        <w:rPr>
          <w:rFonts w:hint="eastAsia" w:ascii="宋体" w:hAnsi="宋体"/>
          <w:bCs/>
          <w:color w:val="000000"/>
          <w:szCs w:val="21"/>
        </w:rPr>
        <w:t xml:space="preserve"> 3.甲乙双方同意把本合同中双方的地址及电子邮箱作为法院送达的判决书、裁定书、调解书和各类诉讼文书材料、裁判文书及双方送达各类文书的地址，双方一致同意法院电子送达各类诉讼文书材料，如有变更的，变更一方须于在变更后的三个工作日内书面通知对方，否则，法院及任何一方向原地址进行送达各类文书材料无论是否收到均视为有效送达，由此产生的后果由变更方自行承担。</w:t>
      </w:r>
    </w:p>
    <w:p>
      <w:pPr>
        <w:pStyle w:val="19"/>
        <w:spacing w:line="360" w:lineRule="auto"/>
        <w:ind w:left="420" w:leftChars="200"/>
        <w:contextualSpacing/>
        <w:rPr>
          <w:rFonts w:hint="eastAsia" w:hAnsi="宋体"/>
          <w:bCs/>
          <w:color w:val="000000"/>
          <w:sz w:val="21"/>
        </w:rPr>
      </w:pPr>
      <w:r>
        <w:rPr>
          <w:rFonts w:hint="eastAsia" w:hAnsi="宋体"/>
          <w:bCs/>
          <w:color w:val="000000"/>
          <w:sz w:val="21"/>
        </w:rPr>
        <w:t>4.本合同未尽事宜，遵照《中华人民共和国民法典》有关条文执行。</w:t>
      </w:r>
    </w:p>
    <w:p>
      <w:pPr>
        <w:spacing w:line="360" w:lineRule="auto"/>
        <w:contextualSpacing/>
        <w:rPr>
          <w:rFonts w:hint="eastAsia" w:ascii="宋体" w:hAnsi="宋体"/>
          <w:b/>
          <w:color w:val="000000"/>
          <w:szCs w:val="21"/>
        </w:rPr>
      </w:pPr>
      <w:r>
        <w:rPr>
          <w:rFonts w:hint="eastAsia" w:ascii="宋体" w:hAnsi="宋体"/>
          <w:b/>
          <w:color w:val="000000"/>
          <w:szCs w:val="21"/>
        </w:rPr>
        <w:t>第十三条　合同的变更、终止与转让</w:t>
      </w:r>
    </w:p>
    <w:p>
      <w:pPr>
        <w:spacing w:line="360" w:lineRule="auto"/>
        <w:ind w:firstLine="420" w:firstLineChars="200"/>
        <w:contextualSpacing/>
        <w:rPr>
          <w:rFonts w:hint="eastAsia" w:ascii="宋体" w:hAnsi="宋体"/>
          <w:szCs w:val="21"/>
        </w:rPr>
      </w:pPr>
      <w:r>
        <w:rPr>
          <w:rFonts w:hint="eastAsia" w:ascii="宋体" w:hAnsi="宋体"/>
          <w:szCs w:val="21"/>
        </w:rPr>
        <w:t>1</w:t>
      </w:r>
      <w:r>
        <w:rPr>
          <w:rFonts w:hint="eastAsia" w:ascii="宋体" w:hAnsi="宋体"/>
          <w:szCs w:val="21"/>
          <w:u w:val="single"/>
        </w:rPr>
        <w:t>. 除《中华人民共和国政府采购法》第五十条规定的情形外，</w:t>
      </w:r>
      <w:r>
        <w:rPr>
          <w:rFonts w:hint="eastAsia" w:ascii="宋体" w:hAnsi="宋体"/>
          <w:szCs w:val="21"/>
        </w:rPr>
        <w:t>本合同一经签订，甲乙双方不得擅自变更、中止或者终止。</w:t>
      </w:r>
    </w:p>
    <w:p>
      <w:pPr>
        <w:spacing w:line="360" w:lineRule="auto"/>
        <w:ind w:left="-61" w:firstLine="514"/>
        <w:contextualSpacing/>
        <w:rPr>
          <w:rFonts w:hint="eastAsia" w:ascii="宋体" w:hAnsi="宋体"/>
          <w:szCs w:val="21"/>
        </w:rPr>
      </w:pPr>
      <w:r>
        <w:rPr>
          <w:rFonts w:hint="eastAsia" w:ascii="宋体" w:hAnsi="宋体"/>
          <w:szCs w:val="21"/>
        </w:rPr>
        <w:t>2. 乙方不得擅自转让（无进口资格的供应商委托进口货物除外）其应履行的合同义务。</w:t>
      </w:r>
    </w:p>
    <w:p>
      <w:pPr>
        <w:spacing w:line="360" w:lineRule="auto"/>
        <w:contextualSpacing/>
        <w:rPr>
          <w:rFonts w:hint="eastAsia" w:ascii="宋体" w:hAnsi="宋体"/>
          <w:b/>
          <w:bCs/>
          <w:szCs w:val="21"/>
          <w:u w:val="single"/>
        </w:rPr>
      </w:pPr>
      <w:r>
        <w:rPr>
          <w:rFonts w:hint="eastAsia" w:ascii="宋体" w:hAnsi="宋体"/>
          <w:b/>
          <w:bCs/>
          <w:szCs w:val="21"/>
          <w:u w:val="single"/>
        </w:rPr>
        <w:t>第十四条　本合同书与下列文件一起构成本合同文件</w:t>
      </w:r>
    </w:p>
    <w:p>
      <w:pPr>
        <w:spacing w:line="360" w:lineRule="auto"/>
        <w:ind w:firstLine="420" w:firstLineChars="200"/>
        <w:contextualSpacing/>
        <w:rPr>
          <w:rFonts w:hint="eastAsia" w:ascii="宋体" w:hAnsi="宋体"/>
          <w:szCs w:val="21"/>
          <w:u w:val="single"/>
        </w:rPr>
      </w:pPr>
      <w:r>
        <w:rPr>
          <w:rFonts w:hint="eastAsia" w:ascii="宋体" w:hAnsi="宋体"/>
          <w:szCs w:val="21"/>
          <w:u w:val="single"/>
        </w:rPr>
        <w:t>1、成交通知书；</w:t>
      </w:r>
    </w:p>
    <w:p>
      <w:pPr>
        <w:spacing w:line="360" w:lineRule="auto"/>
        <w:ind w:firstLine="420" w:firstLineChars="200"/>
        <w:contextualSpacing/>
        <w:rPr>
          <w:rFonts w:hint="eastAsia" w:ascii="宋体" w:hAnsi="宋体"/>
          <w:szCs w:val="21"/>
          <w:u w:val="single"/>
        </w:rPr>
      </w:pPr>
      <w:r>
        <w:rPr>
          <w:rFonts w:hint="eastAsia" w:ascii="宋体" w:hAnsi="宋体"/>
          <w:szCs w:val="21"/>
          <w:u w:val="single"/>
        </w:rPr>
        <w:t>2、询价文件报价表；</w:t>
      </w:r>
    </w:p>
    <w:p>
      <w:pPr>
        <w:spacing w:line="360" w:lineRule="auto"/>
        <w:ind w:firstLine="420" w:firstLineChars="200"/>
        <w:contextualSpacing/>
        <w:rPr>
          <w:rFonts w:hint="eastAsia" w:ascii="宋体" w:hAnsi="宋体"/>
          <w:szCs w:val="21"/>
          <w:u w:val="single"/>
        </w:rPr>
      </w:pPr>
      <w:r>
        <w:rPr>
          <w:rFonts w:hint="eastAsia" w:ascii="宋体" w:hAnsi="宋体"/>
          <w:szCs w:val="21"/>
          <w:u w:val="single"/>
        </w:rPr>
        <w:t>3、服务方案；</w:t>
      </w:r>
    </w:p>
    <w:p>
      <w:pPr>
        <w:spacing w:line="360" w:lineRule="auto"/>
        <w:ind w:firstLine="420" w:firstLineChars="200"/>
        <w:contextualSpacing/>
        <w:rPr>
          <w:rFonts w:hint="eastAsia" w:ascii="宋体" w:hAnsi="宋体"/>
          <w:szCs w:val="21"/>
          <w:u w:val="single"/>
        </w:rPr>
      </w:pPr>
      <w:r>
        <w:rPr>
          <w:rFonts w:hint="eastAsia" w:ascii="宋体" w:hAnsi="宋体"/>
          <w:szCs w:val="21"/>
          <w:u w:val="single"/>
        </w:rPr>
        <w:t>4、响应文件中的其他相关文件。</w:t>
      </w:r>
    </w:p>
    <w:p>
      <w:pPr>
        <w:spacing w:line="360" w:lineRule="auto"/>
        <w:ind w:firstLine="420" w:firstLineChars="200"/>
        <w:contextualSpacing/>
        <w:rPr>
          <w:rFonts w:hint="eastAsia" w:ascii="宋体" w:hAnsi="宋体"/>
          <w:szCs w:val="21"/>
          <w:u w:val="single"/>
        </w:rPr>
      </w:pPr>
      <w:r>
        <w:rPr>
          <w:rFonts w:hint="eastAsia" w:ascii="宋体" w:hAnsi="宋体"/>
          <w:szCs w:val="21"/>
          <w:u w:val="single"/>
        </w:rPr>
        <w:t>5、上述合同文件互相补充和解释。如果合同文件之间存在矛盾或者不一致之处，以上述文件的排列顺序在先者为准。</w:t>
      </w:r>
    </w:p>
    <w:p>
      <w:pPr>
        <w:spacing w:line="360" w:lineRule="auto"/>
        <w:contextualSpacing/>
        <w:rPr>
          <w:rFonts w:hint="eastAsia" w:ascii="宋体" w:hAnsi="宋体"/>
          <w:color w:val="000000"/>
          <w:szCs w:val="21"/>
        </w:rPr>
      </w:pPr>
      <w:r>
        <w:rPr>
          <w:rFonts w:hint="eastAsia" w:ascii="宋体" w:hAnsi="宋体"/>
          <w:b/>
          <w:color w:val="000000"/>
          <w:szCs w:val="21"/>
        </w:rPr>
        <w:t>第十五条　</w:t>
      </w:r>
      <w:r>
        <w:rPr>
          <w:rFonts w:hint="eastAsia" w:ascii="宋体" w:hAnsi="宋体"/>
          <w:color w:val="000000"/>
          <w:szCs w:val="21"/>
        </w:rPr>
        <w:t>本合同一式贰份，具有同等法律效力，甲乙双方各壹份。</w:t>
      </w:r>
    </w:p>
    <w:p>
      <w:pPr>
        <w:snapToGrid w:val="0"/>
        <w:spacing w:line="360" w:lineRule="auto"/>
        <w:rPr>
          <w:rFonts w:hint="eastAsia" w:ascii="宋体" w:hAnsi="宋体"/>
          <w:color w:val="000000"/>
          <w:szCs w:val="21"/>
        </w:rPr>
      </w:pPr>
    </w:p>
    <w:p>
      <w:pPr>
        <w:pStyle w:val="13"/>
        <w:rPr>
          <w:rFonts w:hint="eastAsia" w:ascii="宋体" w:hAnsi="宋体"/>
          <w:color w:val="000000"/>
          <w:szCs w:val="21"/>
        </w:rPr>
      </w:pPr>
    </w:p>
    <w:p>
      <w:pPr>
        <w:pStyle w:val="14"/>
        <w:ind w:firstLine="640"/>
        <w:rPr>
          <w:rFonts w:hint="eastAsia" w:ascii="宋体" w:hAnsi="宋体"/>
          <w:color w:val="000000"/>
          <w:szCs w:val="21"/>
        </w:rPr>
      </w:pPr>
    </w:p>
    <w:tbl>
      <w:tblPr>
        <w:tblStyle w:val="30"/>
        <w:tblpPr w:leftFromText="180" w:rightFromText="180" w:vertAnchor="text" w:horzAnchor="page" w:tblpX="1652" w:tblpY="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9"/>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trPr>
        <w:tc>
          <w:tcPr>
            <w:tcW w:w="4629" w:type="dxa"/>
            <w:vAlign w:val="center"/>
          </w:tcPr>
          <w:p>
            <w:pPr>
              <w:snapToGrid w:val="0"/>
              <w:spacing w:line="360" w:lineRule="auto"/>
              <w:rPr>
                <w:rFonts w:hint="eastAsia" w:ascii="宋体" w:hAnsi="宋体"/>
                <w:color w:val="000000"/>
                <w:szCs w:val="21"/>
              </w:rPr>
            </w:pPr>
            <w:r>
              <w:rPr>
                <w:rFonts w:hint="eastAsia" w:ascii="宋体" w:hAnsi="宋体"/>
                <w:color w:val="000000"/>
                <w:szCs w:val="21"/>
              </w:rPr>
              <w:t xml:space="preserve">甲方（章）           </w:t>
            </w:r>
          </w:p>
          <w:p>
            <w:pPr>
              <w:snapToGrid w:val="0"/>
              <w:spacing w:line="360" w:lineRule="auto"/>
              <w:rPr>
                <w:rFonts w:hint="eastAsia" w:ascii="宋体" w:hAnsi="宋体"/>
                <w:color w:val="000000"/>
                <w:szCs w:val="21"/>
              </w:rPr>
            </w:pPr>
          </w:p>
          <w:p>
            <w:pPr>
              <w:snapToGrid w:val="0"/>
              <w:spacing w:line="360" w:lineRule="auto"/>
              <w:ind w:firstLine="945" w:firstLineChars="450"/>
              <w:jc w:val="right"/>
              <w:rPr>
                <w:rFonts w:hint="eastAsia" w:ascii="宋体" w:hAnsi="宋体"/>
                <w:color w:val="000000"/>
                <w:szCs w:val="21"/>
              </w:rPr>
            </w:pPr>
            <w:r>
              <w:rPr>
                <w:rFonts w:hint="eastAsia" w:ascii="宋体" w:hAnsi="宋体"/>
                <w:color w:val="000000"/>
                <w:szCs w:val="21"/>
              </w:rPr>
              <w:t>年   月   日</w:t>
            </w:r>
          </w:p>
        </w:tc>
        <w:tc>
          <w:tcPr>
            <w:tcW w:w="4630" w:type="dxa"/>
            <w:vAlign w:val="center"/>
          </w:tcPr>
          <w:p>
            <w:pPr>
              <w:snapToGrid w:val="0"/>
              <w:spacing w:line="360" w:lineRule="auto"/>
              <w:rPr>
                <w:rFonts w:hint="eastAsia" w:ascii="宋体" w:hAnsi="宋体"/>
                <w:color w:val="000000"/>
                <w:szCs w:val="21"/>
              </w:rPr>
            </w:pPr>
            <w:r>
              <w:rPr>
                <w:rFonts w:hint="eastAsia" w:ascii="宋体" w:hAnsi="宋体"/>
                <w:color w:val="000000"/>
                <w:szCs w:val="21"/>
              </w:rPr>
              <w:t xml:space="preserve">乙方（章）              </w:t>
            </w:r>
          </w:p>
          <w:p>
            <w:pPr>
              <w:snapToGrid w:val="0"/>
              <w:spacing w:line="360" w:lineRule="auto"/>
              <w:rPr>
                <w:rFonts w:hint="eastAsia" w:ascii="宋体" w:hAnsi="宋体"/>
                <w:color w:val="000000"/>
                <w:szCs w:val="21"/>
              </w:rPr>
            </w:pPr>
          </w:p>
          <w:p>
            <w:pPr>
              <w:snapToGrid w:val="0"/>
              <w:spacing w:line="360" w:lineRule="auto"/>
              <w:jc w:val="right"/>
              <w:rPr>
                <w:rFonts w:hint="eastAsia" w:ascii="宋体" w:hAnsi="宋体"/>
                <w:color w:val="000000"/>
                <w:szCs w:val="21"/>
              </w:rPr>
            </w:pPr>
            <w:r>
              <w:rPr>
                <w:rFonts w:hint="eastAsia" w:ascii="宋体" w:hAnsi="宋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4629" w:type="dxa"/>
            <w:vAlign w:val="center"/>
          </w:tcPr>
          <w:p>
            <w:pPr>
              <w:snapToGrid w:val="0"/>
              <w:spacing w:line="360" w:lineRule="auto"/>
              <w:rPr>
                <w:rFonts w:hint="eastAsia" w:ascii="宋体" w:hAnsi="宋体"/>
                <w:szCs w:val="21"/>
              </w:rPr>
            </w:pPr>
            <w:r>
              <w:rPr>
                <w:rFonts w:hint="eastAsia" w:ascii="宋体" w:hAnsi="宋体"/>
                <w:szCs w:val="21"/>
              </w:rPr>
              <w:t>统一社会信用代码：</w:t>
            </w:r>
            <w:r>
              <w:rPr>
                <w:rFonts w:hint="eastAsia" w:ascii="宋体" w:hAnsi="宋体"/>
                <w:szCs w:val="21"/>
                <w:u w:val="single"/>
              </w:rPr>
              <w:t>12450000498502015M</w:t>
            </w:r>
          </w:p>
        </w:tc>
        <w:tc>
          <w:tcPr>
            <w:tcW w:w="4630" w:type="dxa"/>
            <w:vAlign w:val="center"/>
          </w:tcPr>
          <w:p>
            <w:pPr>
              <w:snapToGrid w:val="0"/>
              <w:spacing w:line="360" w:lineRule="auto"/>
              <w:rPr>
                <w:rFonts w:ascii="宋体" w:hAnsi="宋体"/>
                <w:color w:val="000000"/>
                <w:szCs w:val="21"/>
                <w:u w:val="single"/>
              </w:rPr>
            </w:pPr>
            <w:r>
              <w:rPr>
                <w:rFonts w:hint="eastAsia" w:ascii="宋体" w:hAnsi="宋体"/>
                <w:color w:val="000000"/>
                <w:szCs w:val="21"/>
              </w:rPr>
              <w:t>统一社会信用代码：</w:t>
            </w:r>
            <w:r>
              <w:rPr>
                <w:rFonts w:hint="eastAsia" w:ascii="宋体" w:hAnsi="宋体"/>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4629" w:type="dxa"/>
            <w:vAlign w:val="center"/>
          </w:tcPr>
          <w:p>
            <w:pPr>
              <w:snapToGrid w:val="0"/>
              <w:spacing w:line="360" w:lineRule="auto"/>
              <w:rPr>
                <w:rFonts w:hint="eastAsia" w:ascii="宋体" w:hAnsi="宋体"/>
                <w:szCs w:val="21"/>
              </w:rPr>
            </w:pPr>
            <w:r>
              <w:rPr>
                <w:rFonts w:hint="eastAsia" w:ascii="宋体" w:hAnsi="宋体"/>
                <w:szCs w:val="21"/>
              </w:rPr>
              <w:t>单位地址：</w:t>
            </w:r>
            <w:r>
              <w:rPr>
                <w:rFonts w:hint="eastAsia" w:ascii="宋体" w:hAnsi="宋体" w:cs="宋体"/>
                <w:szCs w:val="21"/>
                <w:u w:val="single"/>
              </w:rPr>
              <w:t>南宁市邕武路9号</w:t>
            </w:r>
            <w:r>
              <w:rPr>
                <w:rFonts w:ascii="宋体" w:hAnsi="宋体" w:cs="宋体"/>
                <w:szCs w:val="21"/>
                <w:u w:val="single"/>
              </w:rPr>
              <w:t xml:space="preserve"> </w:t>
            </w:r>
          </w:p>
        </w:tc>
        <w:tc>
          <w:tcPr>
            <w:tcW w:w="4630" w:type="dxa"/>
            <w:vAlign w:val="center"/>
          </w:tcPr>
          <w:p>
            <w:pPr>
              <w:snapToGrid w:val="0"/>
              <w:spacing w:line="360" w:lineRule="auto"/>
              <w:rPr>
                <w:rFonts w:hint="eastAsia" w:ascii="宋体" w:hAnsi="宋体"/>
                <w:color w:val="000000"/>
                <w:szCs w:val="21"/>
              </w:rPr>
            </w:pPr>
            <w:r>
              <w:rPr>
                <w:rFonts w:hint="eastAsia" w:ascii="宋体" w:hAnsi="宋体"/>
                <w:color w:val="000000"/>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4629" w:type="dxa"/>
          </w:tcPr>
          <w:p>
            <w:pPr>
              <w:snapToGrid w:val="0"/>
              <w:spacing w:line="360" w:lineRule="auto"/>
              <w:rPr>
                <w:rFonts w:hint="eastAsia" w:ascii="宋体" w:hAnsi="宋体"/>
                <w:color w:val="000000"/>
                <w:szCs w:val="21"/>
              </w:rPr>
            </w:pPr>
            <w:r>
              <w:rPr>
                <w:rFonts w:hint="eastAsia" w:ascii="宋体" w:hAnsi="宋体"/>
                <w:color w:val="000000"/>
                <w:szCs w:val="21"/>
              </w:rPr>
              <w:t>法定代表人或者委托代理人：</w:t>
            </w:r>
          </w:p>
        </w:tc>
        <w:tc>
          <w:tcPr>
            <w:tcW w:w="4630" w:type="dxa"/>
          </w:tcPr>
          <w:p>
            <w:pPr>
              <w:snapToGrid w:val="0"/>
              <w:spacing w:line="360" w:lineRule="auto"/>
              <w:rPr>
                <w:rFonts w:hint="eastAsia" w:ascii="宋体" w:hAnsi="宋体"/>
                <w:color w:val="000000"/>
                <w:szCs w:val="21"/>
              </w:rPr>
            </w:pPr>
            <w:r>
              <w:rPr>
                <w:rFonts w:hint="eastAsia" w:ascii="宋体" w:hAnsi="宋体"/>
                <w:color w:val="000000"/>
                <w:szCs w:val="21"/>
              </w:rPr>
              <w:t>法定代表人或者委托代理人：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4629" w:type="dxa"/>
            <w:vAlign w:val="center"/>
          </w:tcPr>
          <w:p>
            <w:pPr>
              <w:snapToGrid w:val="0"/>
              <w:spacing w:line="360" w:lineRule="auto"/>
              <w:rPr>
                <w:rFonts w:hint="eastAsia" w:ascii="宋体" w:hAnsi="宋体"/>
                <w:color w:val="000000"/>
                <w:szCs w:val="21"/>
              </w:rPr>
            </w:pPr>
            <w:r>
              <w:rPr>
                <w:rFonts w:hint="eastAsia" w:ascii="宋体" w:hAnsi="宋体"/>
                <w:color w:val="000000"/>
                <w:szCs w:val="21"/>
              </w:rPr>
              <w:t>联系电话：</w:t>
            </w:r>
          </w:p>
        </w:tc>
        <w:tc>
          <w:tcPr>
            <w:tcW w:w="4630" w:type="dxa"/>
            <w:vAlign w:val="center"/>
          </w:tcPr>
          <w:p>
            <w:pPr>
              <w:snapToGrid w:val="0"/>
              <w:spacing w:line="360" w:lineRule="auto"/>
              <w:rPr>
                <w:rFonts w:hint="eastAsia" w:ascii="宋体" w:hAnsi="宋体"/>
                <w:color w:val="000000"/>
                <w:szCs w:val="21"/>
              </w:rPr>
            </w:pPr>
            <w:r>
              <w:rPr>
                <w:rFonts w:hint="eastAsia" w:ascii="宋体" w:hAnsi="宋体"/>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4629" w:type="dxa"/>
            <w:vAlign w:val="center"/>
          </w:tcPr>
          <w:p>
            <w:pPr>
              <w:snapToGrid w:val="0"/>
              <w:spacing w:line="360" w:lineRule="auto"/>
              <w:rPr>
                <w:rFonts w:hint="eastAsia" w:ascii="宋体" w:hAnsi="宋体"/>
                <w:color w:val="000000"/>
                <w:szCs w:val="21"/>
              </w:rPr>
            </w:pPr>
            <w:r>
              <w:rPr>
                <w:rFonts w:hint="eastAsia" w:ascii="宋体" w:hAnsi="宋体"/>
                <w:color w:val="000000"/>
                <w:szCs w:val="21"/>
              </w:rPr>
              <w:t>电子邮箱：</w:t>
            </w:r>
          </w:p>
        </w:tc>
        <w:tc>
          <w:tcPr>
            <w:tcW w:w="4630" w:type="dxa"/>
            <w:vAlign w:val="center"/>
          </w:tcPr>
          <w:p>
            <w:pPr>
              <w:snapToGrid w:val="0"/>
              <w:spacing w:line="360" w:lineRule="auto"/>
              <w:rPr>
                <w:rFonts w:hint="eastAsia" w:ascii="宋体" w:hAnsi="宋体"/>
                <w:color w:val="000000"/>
                <w:szCs w:val="21"/>
              </w:rPr>
            </w:pPr>
            <w:r>
              <w:rPr>
                <w:rFonts w:hint="eastAsia" w:ascii="宋体" w:hAnsi="宋体"/>
                <w:color w:val="000000"/>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4629" w:type="dxa"/>
            <w:vAlign w:val="center"/>
          </w:tcPr>
          <w:p>
            <w:pPr>
              <w:snapToGrid w:val="0"/>
              <w:spacing w:line="360" w:lineRule="auto"/>
              <w:rPr>
                <w:rFonts w:hint="eastAsia" w:ascii="宋体" w:hAnsi="宋体"/>
                <w:color w:val="000000"/>
                <w:szCs w:val="21"/>
              </w:rPr>
            </w:pPr>
            <w:r>
              <w:rPr>
                <w:rFonts w:hint="eastAsia" w:ascii="宋体" w:hAnsi="宋体"/>
                <w:color w:val="000000"/>
                <w:szCs w:val="21"/>
              </w:rPr>
              <w:t>开户银行：</w:t>
            </w:r>
          </w:p>
        </w:tc>
        <w:tc>
          <w:tcPr>
            <w:tcW w:w="4630" w:type="dxa"/>
            <w:vAlign w:val="center"/>
          </w:tcPr>
          <w:p>
            <w:pPr>
              <w:snapToGrid w:val="0"/>
              <w:spacing w:line="360" w:lineRule="auto"/>
              <w:rPr>
                <w:rFonts w:hint="eastAsia" w:ascii="宋体" w:hAnsi="宋体"/>
                <w:color w:val="000000"/>
                <w:szCs w:val="21"/>
              </w:rPr>
            </w:pPr>
            <w:r>
              <w:rPr>
                <w:rFonts w:hint="eastAsia" w:ascii="宋体" w:hAnsi="宋体"/>
                <w:color w:val="000000"/>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4629" w:type="dxa"/>
            <w:vAlign w:val="center"/>
          </w:tcPr>
          <w:p>
            <w:pPr>
              <w:snapToGrid w:val="0"/>
              <w:spacing w:line="360" w:lineRule="auto"/>
              <w:rPr>
                <w:rFonts w:hint="eastAsia" w:ascii="宋体" w:hAnsi="宋体"/>
                <w:color w:val="000000"/>
                <w:szCs w:val="21"/>
              </w:rPr>
            </w:pPr>
            <w:r>
              <w:rPr>
                <w:rFonts w:hint="eastAsia" w:ascii="宋体" w:hAnsi="宋体"/>
                <w:color w:val="000000"/>
                <w:szCs w:val="21"/>
              </w:rPr>
              <w:t>账号：</w:t>
            </w:r>
          </w:p>
        </w:tc>
        <w:tc>
          <w:tcPr>
            <w:tcW w:w="4630" w:type="dxa"/>
            <w:vAlign w:val="center"/>
          </w:tcPr>
          <w:p>
            <w:pPr>
              <w:snapToGrid w:val="0"/>
              <w:spacing w:line="360" w:lineRule="auto"/>
              <w:rPr>
                <w:rFonts w:hint="eastAsia" w:ascii="宋体" w:hAnsi="宋体"/>
                <w:color w:val="000000"/>
                <w:szCs w:val="21"/>
              </w:rPr>
            </w:pPr>
            <w:r>
              <w:rPr>
                <w:rFonts w:hint="eastAsia" w:ascii="宋体" w:hAnsi="宋体"/>
                <w:color w:val="000000"/>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4629" w:type="dxa"/>
            <w:vAlign w:val="center"/>
          </w:tcPr>
          <w:p>
            <w:pPr>
              <w:snapToGrid w:val="0"/>
              <w:spacing w:line="360" w:lineRule="auto"/>
              <w:rPr>
                <w:rFonts w:hint="eastAsia" w:ascii="宋体" w:hAnsi="宋体"/>
                <w:color w:val="000000"/>
                <w:szCs w:val="21"/>
              </w:rPr>
            </w:pPr>
            <w:r>
              <w:rPr>
                <w:rFonts w:hint="eastAsia" w:ascii="宋体" w:hAnsi="宋体"/>
                <w:color w:val="000000"/>
                <w:szCs w:val="21"/>
              </w:rPr>
              <w:t>邮政编码：</w:t>
            </w:r>
          </w:p>
        </w:tc>
        <w:tc>
          <w:tcPr>
            <w:tcW w:w="4630" w:type="dxa"/>
            <w:vAlign w:val="center"/>
          </w:tcPr>
          <w:p>
            <w:pPr>
              <w:snapToGrid w:val="0"/>
              <w:spacing w:line="360" w:lineRule="auto"/>
              <w:rPr>
                <w:rFonts w:hint="eastAsia" w:ascii="宋体" w:hAnsi="宋体"/>
                <w:color w:val="000000"/>
                <w:szCs w:val="21"/>
              </w:rPr>
            </w:pPr>
            <w:r>
              <w:rPr>
                <w:rFonts w:hint="eastAsia" w:ascii="宋体" w:hAnsi="宋体"/>
                <w:color w:val="000000"/>
                <w:szCs w:val="21"/>
              </w:rPr>
              <w:t>邮政编码：</w:t>
            </w:r>
          </w:p>
        </w:tc>
      </w:tr>
    </w:tbl>
    <w:p>
      <w:pPr>
        <w:pStyle w:val="14"/>
        <w:ind w:firstLine="640"/>
        <w:rPr>
          <w:rFonts w:hint="eastAsia" w:ascii="宋体" w:hAnsi="宋体"/>
          <w:color w:val="000000"/>
          <w:szCs w:val="21"/>
        </w:rPr>
      </w:pPr>
    </w:p>
    <w:p>
      <w:pPr>
        <w:pStyle w:val="14"/>
        <w:ind w:firstLine="640"/>
        <w:rPr>
          <w:rFonts w:hint="eastAsia" w:ascii="宋体" w:hAnsi="宋体"/>
          <w:color w:val="000000"/>
          <w:szCs w:val="21"/>
        </w:rPr>
      </w:pPr>
    </w:p>
    <w:p>
      <w:pPr>
        <w:snapToGrid w:val="0"/>
        <w:spacing w:line="380" w:lineRule="exact"/>
        <w:rPr>
          <w:rFonts w:hint="eastAsia" w:ascii="宋体" w:hAnsi="宋体" w:cs="宋体"/>
          <w:b/>
          <w:sz w:val="32"/>
          <w:szCs w:val="32"/>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p>
    <w:p>
      <w:pPr>
        <w:snapToGrid w:val="0"/>
        <w:spacing w:line="400" w:lineRule="exact"/>
        <w:jc w:val="center"/>
        <w:rPr>
          <w:rFonts w:hint="eastAsia" w:ascii="宋体" w:hAnsi="宋体" w:cs="宋体"/>
          <w:b/>
          <w:sz w:val="24"/>
        </w:rPr>
      </w:pPr>
      <w:r>
        <w:rPr>
          <w:rFonts w:hint="eastAsia" w:ascii="宋体" w:hAnsi="宋体" w:cs="宋体"/>
          <w:b/>
          <w:sz w:val="24"/>
        </w:rPr>
        <w:t>合同附件</w:t>
      </w:r>
    </w:p>
    <w:tbl>
      <w:tblPr>
        <w:tblStyle w:val="3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9" w:type="dxa"/>
            <w:gridSpan w:val="2"/>
          </w:tcPr>
          <w:p>
            <w:pPr>
              <w:snapToGrid w:val="0"/>
              <w:spacing w:line="400" w:lineRule="exact"/>
              <w:ind w:firstLine="480" w:firstLineChars="200"/>
              <w:rPr>
                <w:rFonts w:hint="eastAsia" w:ascii="宋体" w:hAnsi="宋体" w:cs="宋体"/>
                <w:sz w:val="24"/>
              </w:rPr>
            </w:pPr>
            <w:r>
              <w:rPr>
                <w:rFonts w:hint="eastAsia" w:ascii="宋体" w:hAnsi="宋体" w:cs="宋体"/>
                <w:sz w:val="24"/>
              </w:rPr>
              <w:t>1、供应商承诺具体事项：</w:t>
            </w:r>
          </w:p>
          <w:p>
            <w:pPr>
              <w:wordWrap w:val="0"/>
              <w:snapToGrid w:val="0"/>
              <w:spacing w:line="400" w:lineRule="exact"/>
              <w:ind w:firstLine="480" w:firstLineChars="200"/>
              <w:rPr>
                <w:rFonts w:ascii="宋体" w:hAnsi="宋体"/>
                <w:sz w:val="24"/>
              </w:rPr>
            </w:pPr>
            <w:r>
              <w:rPr>
                <w:rFonts w:hint="eastAsia" w:ascii="宋体" w:hAnsi="宋体"/>
                <w:sz w:val="24"/>
              </w:rPr>
              <w:t>详见附件商务条款</w:t>
            </w:r>
          </w:p>
          <w:p>
            <w:pPr>
              <w:wordWrap w:val="0"/>
              <w:snapToGrid w:val="0"/>
              <w:spacing w:line="400" w:lineRule="exact"/>
              <w:ind w:firstLine="480" w:firstLineChars="200"/>
              <w:rPr>
                <w:rFonts w:hint="eastAsia" w:ascii="宋体" w:hAnsi="宋体" w:cs="宋体"/>
                <w:sz w:val="24"/>
              </w:rPr>
            </w:pPr>
          </w:p>
          <w:p>
            <w:pPr>
              <w:wordWrap w:val="0"/>
              <w:snapToGrid w:val="0"/>
              <w:spacing w:line="400" w:lineRule="exact"/>
              <w:ind w:firstLine="480" w:firstLineChars="20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9" w:type="dxa"/>
            <w:gridSpan w:val="2"/>
          </w:tcPr>
          <w:p>
            <w:pPr>
              <w:wordWrap w:val="0"/>
              <w:snapToGrid w:val="0"/>
              <w:spacing w:line="400" w:lineRule="exact"/>
              <w:ind w:firstLine="480" w:firstLineChars="200"/>
              <w:rPr>
                <w:rFonts w:hint="eastAsia" w:ascii="宋体" w:hAnsi="宋体" w:cs="宋体"/>
                <w:sz w:val="24"/>
              </w:rPr>
            </w:pPr>
            <w:r>
              <w:rPr>
                <w:rFonts w:hint="eastAsia" w:ascii="宋体" w:hAnsi="宋体" w:cs="宋体"/>
                <w:sz w:val="24"/>
              </w:rPr>
              <w:t>2、售后服务具体事项：</w:t>
            </w:r>
          </w:p>
          <w:p>
            <w:pPr>
              <w:wordWrap w:val="0"/>
              <w:snapToGrid w:val="0"/>
              <w:spacing w:line="400" w:lineRule="exact"/>
              <w:ind w:firstLine="480" w:firstLineChars="200"/>
              <w:rPr>
                <w:rFonts w:ascii="宋体" w:hAnsi="宋体"/>
                <w:sz w:val="24"/>
              </w:rPr>
            </w:pPr>
            <w:r>
              <w:rPr>
                <w:rFonts w:hint="eastAsia" w:ascii="宋体" w:hAnsi="宋体"/>
                <w:sz w:val="24"/>
              </w:rPr>
              <w:t>详见附件售后服务</w:t>
            </w:r>
          </w:p>
          <w:p>
            <w:pPr>
              <w:wordWrap w:val="0"/>
              <w:snapToGrid w:val="0"/>
              <w:spacing w:line="400" w:lineRule="exact"/>
              <w:ind w:firstLine="480" w:firstLineChars="200"/>
              <w:rPr>
                <w:rFonts w:hint="eastAsia" w:ascii="宋体" w:hAnsi="宋体" w:cs="宋体"/>
                <w:sz w:val="24"/>
              </w:rPr>
            </w:pPr>
          </w:p>
          <w:p>
            <w:pPr>
              <w:wordWrap w:val="0"/>
              <w:snapToGrid w:val="0"/>
              <w:spacing w:line="400" w:lineRule="exact"/>
              <w:ind w:firstLine="480" w:firstLineChars="20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9" w:type="dxa"/>
            <w:gridSpan w:val="2"/>
          </w:tcPr>
          <w:p>
            <w:pPr>
              <w:wordWrap w:val="0"/>
              <w:snapToGrid w:val="0"/>
              <w:spacing w:line="400" w:lineRule="exact"/>
              <w:ind w:firstLine="480" w:firstLineChars="200"/>
              <w:rPr>
                <w:rFonts w:hint="eastAsia" w:ascii="宋体" w:hAnsi="宋体" w:cs="宋体"/>
                <w:sz w:val="24"/>
              </w:rPr>
            </w:pPr>
            <w:r>
              <w:rPr>
                <w:rFonts w:hint="eastAsia" w:ascii="宋体" w:hAnsi="宋体" w:cs="宋体"/>
                <w:sz w:val="24"/>
              </w:rPr>
              <w:t>3、保修期责任：</w:t>
            </w:r>
          </w:p>
          <w:p>
            <w:pPr>
              <w:wordWrap w:val="0"/>
              <w:snapToGrid w:val="0"/>
              <w:spacing w:line="400" w:lineRule="exact"/>
              <w:ind w:firstLine="480" w:firstLineChars="200"/>
              <w:rPr>
                <w:rFonts w:ascii="宋体" w:hAnsi="宋体"/>
                <w:sz w:val="24"/>
              </w:rPr>
            </w:pPr>
            <w:r>
              <w:rPr>
                <w:rFonts w:hint="eastAsia" w:ascii="宋体" w:hAnsi="宋体"/>
                <w:sz w:val="24"/>
              </w:rPr>
              <w:t>详见附件售后服务</w:t>
            </w:r>
          </w:p>
          <w:p>
            <w:pPr>
              <w:wordWrap w:val="0"/>
              <w:snapToGrid w:val="0"/>
              <w:spacing w:line="400" w:lineRule="exact"/>
              <w:ind w:firstLine="480" w:firstLineChars="200"/>
              <w:rPr>
                <w:rFonts w:hint="eastAsia" w:ascii="宋体" w:hAnsi="宋体" w:cs="宋体"/>
                <w:sz w:val="24"/>
              </w:rPr>
            </w:pPr>
          </w:p>
          <w:p>
            <w:pPr>
              <w:wordWrap w:val="0"/>
              <w:snapToGrid w:val="0"/>
              <w:spacing w:line="400" w:lineRule="exact"/>
              <w:ind w:firstLine="480" w:firstLineChars="20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9" w:type="dxa"/>
            <w:gridSpan w:val="2"/>
          </w:tcPr>
          <w:p>
            <w:pPr>
              <w:wordWrap w:val="0"/>
              <w:snapToGrid w:val="0"/>
              <w:spacing w:line="400" w:lineRule="exact"/>
              <w:ind w:firstLine="480" w:firstLineChars="200"/>
              <w:rPr>
                <w:rFonts w:hint="eastAsia" w:ascii="宋体" w:hAnsi="宋体" w:cs="宋体"/>
                <w:sz w:val="24"/>
              </w:rPr>
            </w:pPr>
            <w:r>
              <w:rPr>
                <w:rFonts w:hint="eastAsia" w:ascii="宋体" w:hAnsi="宋体" w:cs="宋体"/>
                <w:sz w:val="24"/>
              </w:rPr>
              <w:t>4、其他具体事项：</w:t>
            </w:r>
          </w:p>
          <w:p>
            <w:pPr>
              <w:wordWrap w:val="0"/>
              <w:snapToGrid w:val="0"/>
              <w:spacing w:line="400" w:lineRule="exact"/>
              <w:ind w:firstLine="480" w:firstLineChars="200"/>
              <w:rPr>
                <w:rFonts w:hint="eastAsia" w:ascii="宋体" w:hAnsi="宋体" w:cs="宋体"/>
                <w:sz w:val="24"/>
              </w:rPr>
            </w:pPr>
          </w:p>
          <w:p>
            <w:pPr>
              <w:wordWrap w:val="0"/>
              <w:snapToGrid w:val="0"/>
              <w:spacing w:line="400" w:lineRule="exact"/>
              <w:ind w:firstLine="480" w:firstLineChars="20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27" w:type="dxa"/>
          </w:tcPr>
          <w:p>
            <w:pPr>
              <w:wordWrap w:val="0"/>
              <w:snapToGrid w:val="0"/>
              <w:spacing w:line="400" w:lineRule="exact"/>
              <w:ind w:firstLine="480" w:firstLineChars="200"/>
              <w:rPr>
                <w:rFonts w:hint="eastAsia" w:ascii="宋体" w:hAnsi="宋体" w:cs="宋体"/>
                <w:sz w:val="24"/>
              </w:rPr>
            </w:pPr>
            <w:r>
              <w:rPr>
                <w:rFonts w:hint="eastAsia" w:ascii="宋体" w:hAnsi="宋体" w:cs="宋体"/>
                <w:sz w:val="24"/>
              </w:rPr>
              <w:t>甲方（章）：</w:t>
            </w:r>
          </w:p>
          <w:p>
            <w:pPr>
              <w:wordWrap w:val="0"/>
              <w:snapToGrid w:val="0"/>
              <w:spacing w:line="400" w:lineRule="exact"/>
              <w:ind w:firstLine="480" w:firstLineChars="200"/>
              <w:rPr>
                <w:rFonts w:hint="eastAsia" w:ascii="宋体" w:hAnsi="宋体" w:cs="宋体"/>
                <w:sz w:val="24"/>
              </w:rPr>
            </w:pPr>
          </w:p>
          <w:p>
            <w:pPr>
              <w:wordWrap w:val="0"/>
              <w:snapToGrid w:val="0"/>
              <w:spacing w:line="400" w:lineRule="exact"/>
              <w:ind w:firstLine="480" w:firstLineChars="200"/>
              <w:rPr>
                <w:rFonts w:hint="eastAsia" w:ascii="宋体" w:hAnsi="宋体" w:cs="宋体"/>
                <w:sz w:val="24"/>
              </w:rPr>
            </w:pPr>
          </w:p>
          <w:p>
            <w:pPr>
              <w:wordWrap w:val="0"/>
              <w:snapToGrid w:val="0"/>
              <w:spacing w:line="400" w:lineRule="exact"/>
              <w:ind w:firstLine="480" w:firstLineChars="200"/>
              <w:jc w:val="right"/>
              <w:rPr>
                <w:rFonts w:hint="eastAsia" w:ascii="宋体" w:hAnsi="宋体" w:cs="宋体"/>
                <w:sz w:val="24"/>
              </w:rPr>
            </w:pPr>
            <w:r>
              <w:rPr>
                <w:rFonts w:hint="eastAsia" w:ascii="宋体" w:hAnsi="宋体" w:cs="宋体"/>
                <w:sz w:val="24"/>
              </w:rPr>
              <w:t>年   月   日</w:t>
            </w:r>
          </w:p>
        </w:tc>
        <w:tc>
          <w:tcPr>
            <w:tcW w:w="4112" w:type="dxa"/>
          </w:tcPr>
          <w:p>
            <w:pPr>
              <w:wordWrap w:val="0"/>
              <w:snapToGrid w:val="0"/>
              <w:spacing w:line="400" w:lineRule="exact"/>
              <w:ind w:firstLine="480" w:firstLineChars="200"/>
              <w:rPr>
                <w:rFonts w:hint="eastAsia" w:ascii="宋体" w:hAnsi="宋体" w:cs="宋体"/>
                <w:sz w:val="24"/>
              </w:rPr>
            </w:pPr>
            <w:r>
              <w:rPr>
                <w:rFonts w:hint="eastAsia" w:ascii="宋体" w:hAnsi="宋体" w:cs="宋体"/>
                <w:sz w:val="24"/>
              </w:rPr>
              <w:t>乙方（章）：</w:t>
            </w:r>
          </w:p>
          <w:p>
            <w:pPr>
              <w:wordWrap w:val="0"/>
              <w:snapToGrid w:val="0"/>
              <w:spacing w:line="400" w:lineRule="exact"/>
              <w:ind w:firstLine="480" w:firstLineChars="200"/>
              <w:rPr>
                <w:rFonts w:hint="eastAsia" w:ascii="宋体" w:hAnsi="宋体" w:cs="宋体"/>
                <w:sz w:val="24"/>
              </w:rPr>
            </w:pPr>
          </w:p>
          <w:p>
            <w:pPr>
              <w:wordWrap w:val="0"/>
              <w:snapToGrid w:val="0"/>
              <w:spacing w:line="400" w:lineRule="exact"/>
              <w:ind w:firstLine="480" w:firstLineChars="200"/>
              <w:rPr>
                <w:rFonts w:hint="eastAsia" w:ascii="宋体" w:hAnsi="宋体" w:cs="宋体"/>
                <w:sz w:val="24"/>
              </w:rPr>
            </w:pPr>
          </w:p>
          <w:p>
            <w:pPr>
              <w:wordWrap w:val="0"/>
              <w:snapToGrid w:val="0"/>
              <w:spacing w:line="400" w:lineRule="exact"/>
              <w:ind w:firstLine="480" w:firstLineChars="200"/>
              <w:jc w:val="right"/>
              <w:rPr>
                <w:rFonts w:hint="eastAsia" w:ascii="宋体" w:hAnsi="宋体" w:cs="宋体"/>
                <w:sz w:val="24"/>
              </w:rPr>
            </w:pPr>
            <w:r>
              <w:rPr>
                <w:rFonts w:hint="eastAsia" w:ascii="宋体" w:hAnsi="宋体" w:cs="宋体"/>
                <w:sz w:val="24"/>
              </w:rPr>
              <w:t>年   月   日</w:t>
            </w:r>
          </w:p>
        </w:tc>
      </w:tr>
    </w:tbl>
    <w:p>
      <w:pPr>
        <w:snapToGrid w:val="0"/>
        <w:spacing w:line="380" w:lineRule="exact"/>
        <w:jc w:val="center"/>
        <w:rPr>
          <w:rFonts w:hint="eastAsia" w:ascii="宋体" w:hAnsi="宋体" w:cs="宋体"/>
          <w:b/>
          <w:bCs/>
          <w:sz w:val="28"/>
          <w:szCs w:val="28"/>
        </w:rPr>
      </w:pPr>
    </w:p>
    <w:p>
      <w:pPr>
        <w:rPr>
          <w:rFonts w:hint="eastAsia"/>
        </w:rPr>
      </w:pPr>
    </w:p>
    <w:sectPr>
      <w:footerReference r:id="rId9" w:type="first"/>
      <w:headerReference r:id="rId7" w:type="default"/>
      <w:footerReference r:id="rId8" w:type="default"/>
      <w:pgSz w:w="11910" w:h="16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jc w:val="both"/>
    </w:pPr>
    <w:r>
      <w:pict>
        <v:shape id="文本框 34"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pPr>
    <w:r>
      <w:pict>
        <v:shape id="文本框 35"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w:r>
    <w:r>
      <w:pict>
        <v:shape id="文本框 5123" o:spid="_x0000_s1028" o:spt="202" type="#_x0000_t202" style="position:absolute;left:0pt;margin-top:0pt;height:12.05pt;width:10.5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pict>
        <v:shape id="文本框 39" o:spid="_x0000_s102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2"/>
                </w:pPr>
                <w:r>
                  <w:fldChar w:fldCharType="begin"/>
                </w:r>
                <w:r>
                  <w:instrText xml:space="preserve"> PAGE  \* MERGEFORMAT </w:instrText>
                </w:r>
                <w:r>
                  <w:fldChar w:fldCharType="separate"/>
                </w:r>
                <w:r>
                  <w:t>35</w:t>
                </w:r>
                <w:r>
                  <w:fldChar w:fldCharType="end"/>
                </w:r>
              </w:p>
            </w:txbxContent>
          </v:textbox>
        </v:shape>
      </w:pict>
    </w: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文本框 5122" o:spid="_x0000_s1030" o:spt="202" type="#_x0000_t202" style="position:absolute;left:0pt;margin-top:0pt;height:10.35pt;width:9.0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63</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B806A"/>
    <w:multiLevelType w:val="singleLevel"/>
    <w:tmpl w:val="80AB806A"/>
    <w:lvl w:ilvl="0" w:tentative="0">
      <w:start w:val="1"/>
      <w:numFmt w:val="decimal"/>
      <w:lvlText w:val="%1."/>
      <w:lvlJc w:val="left"/>
      <w:pPr>
        <w:ind w:left="425" w:hanging="425"/>
      </w:pPr>
      <w:rPr>
        <w:rFonts w:hint="default"/>
      </w:rPr>
    </w:lvl>
  </w:abstractNum>
  <w:abstractNum w:abstractNumId="1">
    <w:nsid w:val="9C046DF0"/>
    <w:multiLevelType w:val="singleLevel"/>
    <w:tmpl w:val="9C046DF0"/>
    <w:lvl w:ilvl="0" w:tentative="0">
      <w:start w:val="1"/>
      <w:numFmt w:val="decimal"/>
      <w:lvlText w:val="%1."/>
      <w:lvlJc w:val="left"/>
      <w:pPr>
        <w:ind w:left="425" w:hanging="425"/>
      </w:pPr>
      <w:rPr>
        <w:rFonts w:hint="default"/>
      </w:rPr>
    </w:lvl>
  </w:abstractNum>
  <w:abstractNum w:abstractNumId="2">
    <w:nsid w:val="A9D60782"/>
    <w:multiLevelType w:val="singleLevel"/>
    <w:tmpl w:val="A9D60782"/>
    <w:lvl w:ilvl="0" w:tentative="0">
      <w:start w:val="1"/>
      <w:numFmt w:val="decimalEnclosedCircleChinese"/>
      <w:suff w:val="nothing"/>
      <w:lvlText w:val="%1　"/>
      <w:lvlJc w:val="left"/>
      <w:pPr>
        <w:ind w:left="-363" w:firstLine="400"/>
      </w:pPr>
      <w:rPr>
        <w:rFonts w:hint="eastAsia"/>
      </w:rPr>
    </w:lvl>
  </w:abstractNum>
  <w:abstractNum w:abstractNumId="3">
    <w:nsid w:val="B85A01BD"/>
    <w:multiLevelType w:val="singleLevel"/>
    <w:tmpl w:val="B85A01BD"/>
    <w:lvl w:ilvl="0" w:tentative="0">
      <w:start w:val="1"/>
      <w:numFmt w:val="chineseCounting"/>
      <w:suff w:val="nothing"/>
      <w:lvlText w:val="%1、"/>
      <w:lvlJc w:val="left"/>
      <w:pPr>
        <w:ind w:left="210" w:firstLine="420"/>
      </w:pPr>
      <w:rPr>
        <w:rFonts w:hint="eastAsia"/>
      </w:rPr>
    </w:lvl>
  </w:abstractNum>
  <w:abstractNum w:abstractNumId="4">
    <w:nsid w:val="C2E538CD"/>
    <w:multiLevelType w:val="singleLevel"/>
    <w:tmpl w:val="C2E538CD"/>
    <w:lvl w:ilvl="0" w:tentative="0">
      <w:start w:val="1"/>
      <w:numFmt w:val="decimal"/>
      <w:lvlText w:val="(%1)"/>
      <w:lvlJc w:val="left"/>
      <w:pPr>
        <w:ind w:left="425" w:hanging="425"/>
      </w:pPr>
      <w:rPr>
        <w:rFonts w:hint="default"/>
      </w:rPr>
    </w:lvl>
  </w:abstractNum>
  <w:abstractNum w:abstractNumId="5">
    <w:nsid w:val="C3D149A0"/>
    <w:multiLevelType w:val="singleLevel"/>
    <w:tmpl w:val="C3D149A0"/>
    <w:lvl w:ilvl="0" w:tentative="0">
      <w:start w:val="1"/>
      <w:numFmt w:val="decimal"/>
      <w:suff w:val="nothing"/>
      <w:lvlText w:val="%1、"/>
      <w:lvlJc w:val="left"/>
    </w:lvl>
  </w:abstractNum>
  <w:abstractNum w:abstractNumId="6">
    <w:nsid w:val="C96C420A"/>
    <w:multiLevelType w:val="singleLevel"/>
    <w:tmpl w:val="C96C420A"/>
    <w:lvl w:ilvl="0" w:tentative="0">
      <w:start w:val="1"/>
      <w:numFmt w:val="chineseCounting"/>
      <w:suff w:val="nothing"/>
      <w:lvlText w:val="（%1）"/>
      <w:lvlJc w:val="left"/>
      <w:pPr>
        <w:ind w:left="0" w:firstLine="420"/>
      </w:pPr>
      <w:rPr>
        <w:rFonts w:hint="eastAsia"/>
        <w:sz w:val="20"/>
        <w:szCs w:val="20"/>
      </w:rPr>
    </w:lvl>
  </w:abstractNum>
  <w:abstractNum w:abstractNumId="7">
    <w:nsid w:val="CBEC90BA"/>
    <w:multiLevelType w:val="singleLevel"/>
    <w:tmpl w:val="CBEC90BA"/>
    <w:lvl w:ilvl="0" w:tentative="0">
      <w:start w:val="1"/>
      <w:numFmt w:val="decimal"/>
      <w:lvlText w:val="%1."/>
      <w:lvlJc w:val="left"/>
      <w:pPr>
        <w:ind w:left="425" w:hanging="425"/>
      </w:pPr>
      <w:rPr>
        <w:rFonts w:hint="default"/>
        <w:color w:val="auto"/>
      </w:rPr>
    </w:lvl>
  </w:abstractNum>
  <w:abstractNum w:abstractNumId="8">
    <w:nsid w:val="D1BFE002"/>
    <w:multiLevelType w:val="singleLevel"/>
    <w:tmpl w:val="D1BFE002"/>
    <w:lvl w:ilvl="0" w:tentative="0">
      <w:start w:val="1"/>
      <w:numFmt w:val="decimal"/>
      <w:lvlText w:val="(%1)"/>
      <w:lvlJc w:val="left"/>
      <w:pPr>
        <w:ind w:left="425" w:hanging="425"/>
      </w:pPr>
      <w:rPr>
        <w:rFonts w:hint="default"/>
      </w:rPr>
    </w:lvl>
  </w:abstractNum>
  <w:abstractNum w:abstractNumId="9">
    <w:nsid w:val="DB65B86C"/>
    <w:multiLevelType w:val="singleLevel"/>
    <w:tmpl w:val="DB65B86C"/>
    <w:lvl w:ilvl="0" w:tentative="0">
      <w:start w:val="6"/>
      <w:numFmt w:val="chineseCounting"/>
      <w:suff w:val="space"/>
      <w:lvlText w:val="第%1章"/>
      <w:lvlJc w:val="left"/>
      <w:rPr>
        <w:rFonts w:hint="eastAsia"/>
      </w:rPr>
    </w:lvl>
  </w:abstractNum>
  <w:abstractNum w:abstractNumId="10">
    <w:nsid w:val="F25E9E1E"/>
    <w:multiLevelType w:val="singleLevel"/>
    <w:tmpl w:val="F25E9E1E"/>
    <w:lvl w:ilvl="0" w:tentative="0">
      <w:start w:val="1"/>
      <w:numFmt w:val="chineseCounting"/>
      <w:suff w:val="nothing"/>
      <w:lvlText w:val="（%1）"/>
      <w:lvlJc w:val="left"/>
      <w:pPr>
        <w:ind w:left="-318" w:firstLine="420"/>
      </w:pPr>
      <w:rPr>
        <w:rFonts w:hint="eastAsia"/>
        <w:b/>
        <w:bCs/>
        <w:sz w:val="21"/>
        <w:szCs w:val="21"/>
      </w:rPr>
    </w:lvl>
  </w:abstractNum>
  <w:abstractNum w:abstractNumId="11">
    <w:nsid w:val="FD87E15C"/>
    <w:multiLevelType w:val="singleLevel"/>
    <w:tmpl w:val="FD87E15C"/>
    <w:lvl w:ilvl="0" w:tentative="0">
      <w:start w:val="1"/>
      <w:numFmt w:val="decimal"/>
      <w:lvlText w:val="(%1)"/>
      <w:lvlJc w:val="left"/>
      <w:pPr>
        <w:ind w:left="-8" w:hanging="425"/>
      </w:pPr>
      <w:rPr>
        <w:rFonts w:hint="default"/>
      </w:rPr>
    </w:lvl>
  </w:abstractNum>
  <w:abstractNum w:abstractNumId="12">
    <w:nsid w:val="02E04857"/>
    <w:multiLevelType w:val="singleLevel"/>
    <w:tmpl w:val="02E04857"/>
    <w:lvl w:ilvl="0" w:tentative="0">
      <w:start w:val="1"/>
      <w:numFmt w:val="decimalEnclosedCircleChinese"/>
      <w:suff w:val="nothing"/>
      <w:lvlText w:val="%1　"/>
      <w:lvlJc w:val="left"/>
      <w:pPr>
        <w:ind w:left="-504" w:firstLine="400"/>
      </w:pPr>
      <w:rPr>
        <w:rFonts w:hint="eastAsia"/>
      </w:rPr>
    </w:lvl>
  </w:abstractNum>
  <w:abstractNum w:abstractNumId="13">
    <w:nsid w:val="03ED555F"/>
    <w:multiLevelType w:val="singleLevel"/>
    <w:tmpl w:val="03ED555F"/>
    <w:lvl w:ilvl="0" w:tentative="0">
      <w:start w:val="1"/>
      <w:numFmt w:val="decimal"/>
      <w:lvlText w:val="(%1)"/>
      <w:lvlJc w:val="left"/>
      <w:pPr>
        <w:ind w:left="425" w:hanging="425"/>
      </w:pPr>
      <w:rPr>
        <w:rFonts w:hint="default"/>
      </w:rPr>
    </w:lvl>
  </w:abstractNum>
  <w:abstractNum w:abstractNumId="14">
    <w:nsid w:val="06A21A7C"/>
    <w:multiLevelType w:val="multilevel"/>
    <w:tmpl w:val="06A21A7C"/>
    <w:lvl w:ilvl="0" w:tentative="0">
      <w:start w:val="1"/>
      <w:numFmt w:val="decimal"/>
      <w:lvlText w:val="%1."/>
      <w:lvlJc w:val="left"/>
      <w:pPr>
        <w:ind w:left="703" w:hanging="284"/>
      </w:pPr>
      <w:rPr>
        <w:rFonts w:hint="default" w:ascii="宋体" w:hAnsi="宋体" w:eastAsia="宋体" w:cs="宋体"/>
        <w:spacing w:val="-2"/>
        <w:w w:val="100"/>
        <w:sz w:val="26"/>
        <w:szCs w:val="26"/>
      </w:rPr>
    </w:lvl>
    <w:lvl w:ilvl="1" w:tentative="0">
      <w:start w:val="0"/>
      <w:numFmt w:val="bullet"/>
      <w:lvlText w:val="•"/>
      <w:lvlJc w:val="left"/>
      <w:pPr>
        <w:ind w:left="1615" w:hanging="284"/>
      </w:pPr>
      <w:rPr>
        <w:rFonts w:hint="default"/>
      </w:rPr>
    </w:lvl>
    <w:lvl w:ilvl="2" w:tentative="0">
      <w:start w:val="0"/>
      <w:numFmt w:val="bullet"/>
      <w:lvlText w:val="•"/>
      <w:lvlJc w:val="left"/>
      <w:pPr>
        <w:ind w:left="2530" w:hanging="284"/>
      </w:pPr>
      <w:rPr>
        <w:rFonts w:hint="default"/>
      </w:rPr>
    </w:lvl>
    <w:lvl w:ilvl="3" w:tentative="0">
      <w:start w:val="0"/>
      <w:numFmt w:val="bullet"/>
      <w:lvlText w:val="•"/>
      <w:lvlJc w:val="left"/>
      <w:pPr>
        <w:ind w:left="3444" w:hanging="284"/>
      </w:pPr>
      <w:rPr>
        <w:rFonts w:hint="default"/>
      </w:rPr>
    </w:lvl>
    <w:lvl w:ilvl="4" w:tentative="0">
      <w:start w:val="0"/>
      <w:numFmt w:val="bullet"/>
      <w:lvlText w:val="•"/>
      <w:lvlJc w:val="left"/>
      <w:pPr>
        <w:ind w:left="4359" w:hanging="284"/>
      </w:pPr>
      <w:rPr>
        <w:rFonts w:hint="default"/>
      </w:rPr>
    </w:lvl>
    <w:lvl w:ilvl="5" w:tentative="0">
      <w:start w:val="0"/>
      <w:numFmt w:val="bullet"/>
      <w:lvlText w:val="•"/>
      <w:lvlJc w:val="left"/>
      <w:pPr>
        <w:ind w:left="5274" w:hanging="284"/>
      </w:pPr>
      <w:rPr>
        <w:rFonts w:hint="default"/>
      </w:rPr>
    </w:lvl>
    <w:lvl w:ilvl="6" w:tentative="0">
      <w:start w:val="0"/>
      <w:numFmt w:val="bullet"/>
      <w:lvlText w:val="•"/>
      <w:lvlJc w:val="left"/>
      <w:pPr>
        <w:ind w:left="6188" w:hanging="284"/>
      </w:pPr>
      <w:rPr>
        <w:rFonts w:hint="default"/>
      </w:rPr>
    </w:lvl>
    <w:lvl w:ilvl="7" w:tentative="0">
      <w:start w:val="0"/>
      <w:numFmt w:val="bullet"/>
      <w:lvlText w:val="•"/>
      <w:lvlJc w:val="left"/>
      <w:pPr>
        <w:ind w:left="7103" w:hanging="284"/>
      </w:pPr>
      <w:rPr>
        <w:rFonts w:hint="default"/>
      </w:rPr>
    </w:lvl>
    <w:lvl w:ilvl="8" w:tentative="0">
      <w:start w:val="0"/>
      <w:numFmt w:val="bullet"/>
      <w:lvlText w:val="•"/>
      <w:lvlJc w:val="left"/>
      <w:pPr>
        <w:ind w:left="8017" w:hanging="284"/>
      </w:pPr>
      <w:rPr>
        <w:rFonts w:hint="default"/>
      </w:rPr>
    </w:lvl>
  </w:abstractNum>
  <w:abstractNum w:abstractNumId="15">
    <w:nsid w:val="08618982"/>
    <w:multiLevelType w:val="singleLevel"/>
    <w:tmpl w:val="08618982"/>
    <w:lvl w:ilvl="0" w:tentative="0">
      <w:start w:val="1"/>
      <w:numFmt w:val="decimal"/>
      <w:lvlText w:val="%1."/>
      <w:lvlJc w:val="left"/>
      <w:pPr>
        <w:ind w:left="425" w:hanging="425"/>
      </w:pPr>
      <w:rPr>
        <w:rFonts w:hint="default"/>
      </w:rPr>
    </w:lvl>
  </w:abstractNum>
  <w:abstractNum w:abstractNumId="16">
    <w:nsid w:val="13B5E10C"/>
    <w:multiLevelType w:val="singleLevel"/>
    <w:tmpl w:val="13B5E10C"/>
    <w:lvl w:ilvl="0" w:tentative="0">
      <w:start w:val="1"/>
      <w:numFmt w:val="decimal"/>
      <w:lvlText w:val="(%1)"/>
      <w:lvlJc w:val="left"/>
      <w:pPr>
        <w:ind w:left="-148" w:hanging="425"/>
      </w:pPr>
      <w:rPr>
        <w:rFonts w:hint="default"/>
      </w:rPr>
    </w:lvl>
  </w:abstractNum>
  <w:abstractNum w:abstractNumId="17">
    <w:nsid w:val="17387447"/>
    <w:multiLevelType w:val="singleLevel"/>
    <w:tmpl w:val="17387447"/>
    <w:lvl w:ilvl="0" w:tentative="0">
      <w:start w:val="1"/>
      <w:numFmt w:val="decimal"/>
      <w:lvlText w:val="%1."/>
      <w:lvlJc w:val="left"/>
      <w:pPr>
        <w:ind w:left="425" w:hanging="425"/>
      </w:pPr>
      <w:rPr>
        <w:rFonts w:hint="default"/>
      </w:rPr>
    </w:lvl>
  </w:abstractNum>
  <w:abstractNum w:abstractNumId="18">
    <w:nsid w:val="2A100B7A"/>
    <w:multiLevelType w:val="singleLevel"/>
    <w:tmpl w:val="2A100B7A"/>
    <w:lvl w:ilvl="0" w:tentative="0">
      <w:start w:val="1"/>
      <w:numFmt w:val="decimal"/>
      <w:lvlText w:val="(%1)"/>
      <w:lvlJc w:val="left"/>
      <w:pPr>
        <w:ind w:left="425" w:hanging="425"/>
      </w:pPr>
      <w:rPr>
        <w:rFonts w:hint="default"/>
        <w:color w:val="000000"/>
      </w:rPr>
    </w:lvl>
  </w:abstractNum>
  <w:abstractNum w:abstractNumId="19">
    <w:nsid w:val="5D1B313A"/>
    <w:multiLevelType w:val="multilevel"/>
    <w:tmpl w:val="5D1B313A"/>
    <w:lvl w:ilvl="0" w:tentative="0">
      <w:start w:val="1"/>
      <w:numFmt w:val="decimal"/>
      <w:lvlText w:val="%1."/>
      <w:lvlJc w:val="left"/>
      <w:pPr>
        <w:ind w:left="71" w:hanging="284"/>
      </w:pPr>
      <w:rPr>
        <w:rFonts w:hint="default" w:ascii="宋体" w:hAnsi="宋体" w:eastAsia="宋体" w:cs="宋体"/>
        <w:spacing w:val="-2"/>
        <w:w w:val="100"/>
        <w:sz w:val="26"/>
        <w:szCs w:val="26"/>
      </w:rPr>
    </w:lvl>
    <w:lvl w:ilvl="1" w:tentative="0">
      <w:start w:val="0"/>
      <w:numFmt w:val="bullet"/>
      <w:lvlText w:val="•"/>
      <w:lvlJc w:val="left"/>
      <w:pPr>
        <w:ind w:left="1098" w:hanging="284"/>
      </w:pPr>
      <w:rPr>
        <w:rFonts w:hint="default"/>
      </w:rPr>
    </w:lvl>
    <w:lvl w:ilvl="2" w:tentative="0">
      <w:start w:val="0"/>
      <w:numFmt w:val="bullet"/>
      <w:lvlText w:val="•"/>
      <w:lvlJc w:val="left"/>
      <w:pPr>
        <w:ind w:left="2097" w:hanging="284"/>
      </w:pPr>
      <w:rPr>
        <w:rFonts w:hint="default"/>
      </w:rPr>
    </w:lvl>
    <w:lvl w:ilvl="3" w:tentative="0">
      <w:start w:val="0"/>
      <w:numFmt w:val="bullet"/>
      <w:lvlText w:val="•"/>
      <w:lvlJc w:val="left"/>
      <w:pPr>
        <w:ind w:left="3095" w:hanging="284"/>
      </w:pPr>
      <w:rPr>
        <w:rFonts w:hint="default"/>
      </w:rPr>
    </w:lvl>
    <w:lvl w:ilvl="4" w:tentative="0">
      <w:start w:val="0"/>
      <w:numFmt w:val="bullet"/>
      <w:lvlText w:val="•"/>
      <w:lvlJc w:val="left"/>
      <w:pPr>
        <w:ind w:left="4094" w:hanging="284"/>
      </w:pPr>
      <w:rPr>
        <w:rFonts w:hint="default"/>
      </w:rPr>
    </w:lvl>
    <w:lvl w:ilvl="5" w:tentative="0">
      <w:start w:val="0"/>
      <w:numFmt w:val="bullet"/>
      <w:lvlText w:val="•"/>
      <w:lvlJc w:val="left"/>
      <w:pPr>
        <w:ind w:left="5093" w:hanging="284"/>
      </w:pPr>
      <w:rPr>
        <w:rFonts w:hint="default"/>
      </w:rPr>
    </w:lvl>
    <w:lvl w:ilvl="6" w:tentative="0">
      <w:start w:val="0"/>
      <w:numFmt w:val="bullet"/>
      <w:lvlText w:val="•"/>
      <w:lvlJc w:val="left"/>
      <w:pPr>
        <w:ind w:left="6091" w:hanging="284"/>
      </w:pPr>
      <w:rPr>
        <w:rFonts w:hint="default"/>
      </w:rPr>
    </w:lvl>
    <w:lvl w:ilvl="7" w:tentative="0">
      <w:start w:val="0"/>
      <w:numFmt w:val="bullet"/>
      <w:lvlText w:val="•"/>
      <w:lvlJc w:val="left"/>
      <w:pPr>
        <w:ind w:left="7090" w:hanging="284"/>
      </w:pPr>
      <w:rPr>
        <w:rFonts w:hint="default"/>
      </w:rPr>
    </w:lvl>
    <w:lvl w:ilvl="8" w:tentative="0">
      <w:start w:val="0"/>
      <w:numFmt w:val="bullet"/>
      <w:lvlText w:val="•"/>
      <w:lvlJc w:val="left"/>
      <w:pPr>
        <w:ind w:left="8088" w:hanging="284"/>
      </w:pPr>
      <w:rPr>
        <w:rFonts w:hint="default"/>
      </w:rPr>
    </w:lvl>
  </w:abstractNum>
  <w:abstractNum w:abstractNumId="20">
    <w:nsid w:val="61D1F9BB"/>
    <w:multiLevelType w:val="singleLevel"/>
    <w:tmpl w:val="61D1F9BB"/>
    <w:lvl w:ilvl="0" w:tentative="0">
      <w:start w:val="1"/>
      <w:numFmt w:val="decimal"/>
      <w:lvlText w:val="(%1)"/>
      <w:lvlJc w:val="left"/>
      <w:pPr>
        <w:ind w:left="215" w:hanging="425"/>
      </w:pPr>
      <w:rPr>
        <w:rFonts w:hint="default"/>
      </w:rPr>
    </w:lvl>
  </w:abstractNum>
  <w:abstractNum w:abstractNumId="21">
    <w:nsid w:val="770C1956"/>
    <w:multiLevelType w:val="singleLevel"/>
    <w:tmpl w:val="770C1956"/>
    <w:lvl w:ilvl="0" w:tentative="0">
      <w:start w:val="1"/>
      <w:numFmt w:val="decimalEnclosedCircleChinese"/>
      <w:suff w:val="nothing"/>
      <w:lvlText w:val="%1　"/>
      <w:lvlJc w:val="left"/>
      <w:pPr>
        <w:ind w:left="-504" w:firstLine="400"/>
      </w:pPr>
      <w:rPr>
        <w:rFonts w:hint="eastAsia"/>
      </w:rPr>
    </w:lvl>
  </w:abstractNum>
  <w:num w:numId="1">
    <w:abstractNumId w:val="17"/>
  </w:num>
  <w:num w:numId="2">
    <w:abstractNumId w:val="1"/>
  </w:num>
  <w:num w:numId="3">
    <w:abstractNumId w:val="5"/>
  </w:num>
  <w:num w:numId="4">
    <w:abstractNumId w:val="3"/>
  </w:num>
  <w:num w:numId="5">
    <w:abstractNumId w:val="10"/>
  </w:num>
  <w:num w:numId="6">
    <w:abstractNumId w:val="6"/>
  </w:num>
  <w:num w:numId="7">
    <w:abstractNumId w:val="15"/>
  </w:num>
  <w:num w:numId="8">
    <w:abstractNumId w:val="4"/>
  </w:num>
  <w:num w:numId="9">
    <w:abstractNumId w:val="7"/>
  </w:num>
  <w:num w:numId="10">
    <w:abstractNumId w:val="11"/>
  </w:num>
  <w:num w:numId="11">
    <w:abstractNumId w:val="20"/>
  </w:num>
  <w:num w:numId="12">
    <w:abstractNumId w:val="0"/>
  </w:num>
  <w:num w:numId="13">
    <w:abstractNumId w:val="8"/>
  </w:num>
  <w:num w:numId="14">
    <w:abstractNumId w:val="13"/>
  </w:num>
  <w:num w:numId="15">
    <w:abstractNumId w:val="18"/>
  </w:num>
  <w:num w:numId="16">
    <w:abstractNumId w:val="9"/>
  </w:num>
  <w:num w:numId="17">
    <w:abstractNumId w:val="14"/>
  </w:num>
  <w:num w:numId="18">
    <w:abstractNumId w:val="19"/>
  </w:num>
  <w:num w:numId="19">
    <w:abstractNumId w:val="16"/>
  </w:num>
  <w:num w:numId="20">
    <w:abstractNumId w:val="2"/>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UyNGRmNDNiNGIxOGM0NmNhYTQ1MjU3ZTkzYWQwNjIifQ=="/>
  </w:docVars>
  <w:rsids>
    <w:rsidRoot w:val="00172A27"/>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256"/>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26D7"/>
    <w:rsid w:val="00103646"/>
    <w:rsid w:val="00103918"/>
    <w:rsid w:val="00104897"/>
    <w:rsid w:val="00104EDE"/>
    <w:rsid w:val="00105CDA"/>
    <w:rsid w:val="00106BEE"/>
    <w:rsid w:val="00107C74"/>
    <w:rsid w:val="0011091C"/>
    <w:rsid w:val="00111266"/>
    <w:rsid w:val="001112EB"/>
    <w:rsid w:val="00112768"/>
    <w:rsid w:val="00113678"/>
    <w:rsid w:val="00113C3E"/>
    <w:rsid w:val="001143CC"/>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5757"/>
    <w:rsid w:val="00186823"/>
    <w:rsid w:val="00186FE1"/>
    <w:rsid w:val="00187A14"/>
    <w:rsid w:val="001904CD"/>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2E1D"/>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16F6F"/>
    <w:rsid w:val="0022054D"/>
    <w:rsid w:val="00223DDB"/>
    <w:rsid w:val="00223FA4"/>
    <w:rsid w:val="00223FB0"/>
    <w:rsid w:val="00224067"/>
    <w:rsid w:val="0022421C"/>
    <w:rsid w:val="00224E83"/>
    <w:rsid w:val="00225378"/>
    <w:rsid w:val="00225664"/>
    <w:rsid w:val="0022663D"/>
    <w:rsid w:val="002274B6"/>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2ECD"/>
    <w:rsid w:val="003330C9"/>
    <w:rsid w:val="0033364C"/>
    <w:rsid w:val="00334415"/>
    <w:rsid w:val="00335EA1"/>
    <w:rsid w:val="0033691E"/>
    <w:rsid w:val="00336A6A"/>
    <w:rsid w:val="00336CCB"/>
    <w:rsid w:val="003411D1"/>
    <w:rsid w:val="003416BA"/>
    <w:rsid w:val="00342148"/>
    <w:rsid w:val="00342F99"/>
    <w:rsid w:val="00343B5F"/>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3374"/>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530"/>
    <w:rsid w:val="004A7EDE"/>
    <w:rsid w:val="004B0D93"/>
    <w:rsid w:val="004B1FA4"/>
    <w:rsid w:val="004B29AC"/>
    <w:rsid w:val="004B30F4"/>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3D62"/>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81B"/>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92"/>
    <w:rsid w:val="00540EA1"/>
    <w:rsid w:val="0054358E"/>
    <w:rsid w:val="00543AF4"/>
    <w:rsid w:val="00544191"/>
    <w:rsid w:val="0054440C"/>
    <w:rsid w:val="005448EC"/>
    <w:rsid w:val="00544C0A"/>
    <w:rsid w:val="00544F39"/>
    <w:rsid w:val="00545196"/>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87DEC"/>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666C"/>
    <w:rsid w:val="005B77D2"/>
    <w:rsid w:val="005C019B"/>
    <w:rsid w:val="005C08D0"/>
    <w:rsid w:val="005C1AED"/>
    <w:rsid w:val="005C30F5"/>
    <w:rsid w:val="005C49CA"/>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17E"/>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1A93"/>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A0"/>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566"/>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17CA5"/>
    <w:rsid w:val="0082027C"/>
    <w:rsid w:val="00822518"/>
    <w:rsid w:val="008226F5"/>
    <w:rsid w:val="00823A3A"/>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2F"/>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D75"/>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5CDB"/>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2441"/>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2E90"/>
    <w:rsid w:val="00944668"/>
    <w:rsid w:val="00944DC6"/>
    <w:rsid w:val="009458B0"/>
    <w:rsid w:val="00945B52"/>
    <w:rsid w:val="00945B7A"/>
    <w:rsid w:val="00945F05"/>
    <w:rsid w:val="009462E4"/>
    <w:rsid w:val="00946348"/>
    <w:rsid w:val="00947797"/>
    <w:rsid w:val="009478A2"/>
    <w:rsid w:val="00947AB0"/>
    <w:rsid w:val="00951935"/>
    <w:rsid w:val="0095200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9B3"/>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B93"/>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340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4EC9"/>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AA7"/>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147"/>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4DEF"/>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4D0"/>
    <w:rsid w:val="00BA575E"/>
    <w:rsid w:val="00BA5D8C"/>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2A4"/>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18BD"/>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452B"/>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001"/>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1BCA"/>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0A06"/>
    <w:rsid w:val="00E31AFA"/>
    <w:rsid w:val="00E31CB7"/>
    <w:rsid w:val="00E324EE"/>
    <w:rsid w:val="00E32990"/>
    <w:rsid w:val="00E3332C"/>
    <w:rsid w:val="00E34DB1"/>
    <w:rsid w:val="00E35931"/>
    <w:rsid w:val="00E359FF"/>
    <w:rsid w:val="00E3660A"/>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2B5F"/>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91B"/>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15"/>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65AA"/>
    <w:rsid w:val="00FE7A68"/>
    <w:rsid w:val="00FF0231"/>
    <w:rsid w:val="00FF1C9B"/>
    <w:rsid w:val="00FF1D49"/>
    <w:rsid w:val="00FF203B"/>
    <w:rsid w:val="00FF2562"/>
    <w:rsid w:val="00FF3A41"/>
    <w:rsid w:val="00FF3E5B"/>
    <w:rsid w:val="00FF57E4"/>
    <w:rsid w:val="00FF78E5"/>
    <w:rsid w:val="011E342A"/>
    <w:rsid w:val="01932C79"/>
    <w:rsid w:val="01AF3D99"/>
    <w:rsid w:val="01B75905"/>
    <w:rsid w:val="02511F9D"/>
    <w:rsid w:val="027345B1"/>
    <w:rsid w:val="02C57B73"/>
    <w:rsid w:val="03081ECC"/>
    <w:rsid w:val="03376C62"/>
    <w:rsid w:val="03A314B8"/>
    <w:rsid w:val="03B44DCE"/>
    <w:rsid w:val="03D82B98"/>
    <w:rsid w:val="03F83E8B"/>
    <w:rsid w:val="04020397"/>
    <w:rsid w:val="0469177A"/>
    <w:rsid w:val="04814188"/>
    <w:rsid w:val="04E23328"/>
    <w:rsid w:val="05377F90"/>
    <w:rsid w:val="05665D07"/>
    <w:rsid w:val="05A50043"/>
    <w:rsid w:val="05C56868"/>
    <w:rsid w:val="06743211"/>
    <w:rsid w:val="06F23CF7"/>
    <w:rsid w:val="070D0B30"/>
    <w:rsid w:val="07216577"/>
    <w:rsid w:val="076322AD"/>
    <w:rsid w:val="077566D6"/>
    <w:rsid w:val="07B216D8"/>
    <w:rsid w:val="07B72767"/>
    <w:rsid w:val="07C978C7"/>
    <w:rsid w:val="07D478A0"/>
    <w:rsid w:val="07E83760"/>
    <w:rsid w:val="08077E72"/>
    <w:rsid w:val="08882DD0"/>
    <w:rsid w:val="08882EEB"/>
    <w:rsid w:val="08E6788B"/>
    <w:rsid w:val="09342A84"/>
    <w:rsid w:val="095416EA"/>
    <w:rsid w:val="09CC2AAC"/>
    <w:rsid w:val="09D26E76"/>
    <w:rsid w:val="09DC0C8E"/>
    <w:rsid w:val="09E52D86"/>
    <w:rsid w:val="0A067AB9"/>
    <w:rsid w:val="0A112734"/>
    <w:rsid w:val="0A652D3E"/>
    <w:rsid w:val="0B326F2A"/>
    <w:rsid w:val="0B4E7082"/>
    <w:rsid w:val="0BA23811"/>
    <w:rsid w:val="0BB91287"/>
    <w:rsid w:val="0C1E2888"/>
    <w:rsid w:val="0C92213C"/>
    <w:rsid w:val="0D44073D"/>
    <w:rsid w:val="0D701E19"/>
    <w:rsid w:val="0D84032B"/>
    <w:rsid w:val="0DA90E87"/>
    <w:rsid w:val="0DF5586B"/>
    <w:rsid w:val="0E3E1F17"/>
    <w:rsid w:val="0E417312"/>
    <w:rsid w:val="0E981627"/>
    <w:rsid w:val="0EC275AD"/>
    <w:rsid w:val="0F2A74C4"/>
    <w:rsid w:val="101F3682"/>
    <w:rsid w:val="10A27F31"/>
    <w:rsid w:val="11625F1D"/>
    <w:rsid w:val="11927058"/>
    <w:rsid w:val="11AD1D42"/>
    <w:rsid w:val="11D97125"/>
    <w:rsid w:val="11DF5AAC"/>
    <w:rsid w:val="11FA43A7"/>
    <w:rsid w:val="12130FC5"/>
    <w:rsid w:val="124679B8"/>
    <w:rsid w:val="127875BA"/>
    <w:rsid w:val="12F708E7"/>
    <w:rsid w:val="13A04ADA"/>
    <w:rsid w:val="13AF4F03"/>
    <w:rsid w:val="13C5763D"/>
    <w:rsid w:val="13F63B4B"/>
    <w:rsid w:val="140B1A6A"/>
    <w:rsid w:val="145451EE"/>
    <w:rsid w:val="14736E66"/>
    <w:rsid w:val="147F458F"/>
    <w:rsid w:val="14D958EC"/>
    <w:rsid w:val="1534169A"/>
    <w:rsid w:val="15C03E03"/>
    <w:rsid w:val="162A25EB"/>
    <w:rsid w:val="16C17005"/>
    <w:rsid w:val="16CA0903"/>
    <w:rsid w:val="16DF0BDB"/>
    <w:rsid w:val="16FD2A55"/>
    <w:rsid w:val="16FE5C63"/>
    <w:rsid w:val="17067C1A"/>
    <w:rsid w:val="17366761"/>
    <w:rsid w:val="174C52DC"/>
    <w:rsid w:val="176B0BF3"/>
    <w:rsid w:val="177C01F0"/>
    <w:rsid w:val="17C73DF4"/>
    <w:rsid w:val="17CE6630"/>
    <w:rsid w:val="17E559A8"/>
    <w:rsid w:val="17F17FFA"/>
    <w:rsid w:val="182B52BA"/>
    <w:rsid w:val="190B6E9A"/>
    <w:rsid w:val="195725A1"/>
    <w:rsid w:val="195909FE"/>
    <w:rsid w:val="199173EB"/>
    <w:rsid w:val="19995F54"/>
    <w:rsid w:val="19CC6629"/>
    <w:rsid w:val="1A2F18F5"/>
    <w:rsid w:val="1A3D37C4"/>
    <w:rsid w:val="1A5E5E7A"/>
    <w:rsid w:val="1A620D3B"/>
    <w:rsid w:val="1ACF642C"/>
    <w:rsid w:val="1AD14EC7"/>
    <w:rsid w:val="1AFF0AFE"/>
    <w:rsid w:val="1B4577C7"/>
    <w:rsid w:val="1B4F19F8"/>
    <w:rsid w:val="1B881512"/>
    <w:rsid w:val="1BCD0437"/>
    <w:rsid w:val="1BE943F8"/>
    <w:rsid w:val="1C0D0BCA"/>
    <w:rsid w:val="1C226F03"/>
    <w:rsid w:val="1D0E7FE7"/>
    <w:rsid w:val="1D69121B"/>
    <w:rsid w:val="1D827073"/>
    <w:rsid w:val="1E0175D6"/>
    <w:rsid w:val="1E6D5578"/>
    <w:rsid w:val="1EA84CE9"/>
    <w:rsid w:val="1ECC44FA"/>
    <w:rsid w:val="1F063325"/>
    <w:rsid w:val="1FBC5DF5"/>
    <w:rsid w:val="1FF90588"/>
    <w:rsid w:val="203E1903"/>
    <w:rsid w:val="2087144F"/>
    <w:rsid w:val="209634ED"/>
    <w:rsid w:val="20C3623F"/>
    <w:rsid w:val="20DD02A2"/>
    <w:rsid w:val="21562C7C"/>
    <w:rsid w:val="21702D0C"/>
    <w:rsid w:val="21781212"/>
    <w:rsid w:val="21B83F86"/>
    <w:rsid w:val="221178A8"/>
    <w:rsid w:val="221213CF"/>
    <w:rsid w:val="22327A92"/>
    <w:rsid w:val="2255596F"/>
    <w:rsid w:val="231D53A2"/>
    <w:rsid w:val="2324448A"/>
    <w:rsid w:val="23581186"/>
    <w:rsid w:val="236D5383"/>
    <w:rsid w:val="23B7504C"/>
    <w:rsid w:val="23E0247D"/>
    <w:rsid w:val="24571307"/>
    <w:rsid w:val="246E66FC"/>
    <w:rsid w:val="24D42836"/>
    <w:rsid w:val="25110A2A"/>
    <w:rsid w:val="25333A00"/>
    <w:rsid w:val="254C4AC2"/>
    <w:rsid w:val="25543E8A"/>
    <w:rsid w:val="256C0944"/>
    <w:rsid w:val="25B368EF"/>
    <w:rsid w:val="25F52A64"/>
    <w:rsid w:val="25FA79C1"/>
    <w:rsid w:val="26317FF4"/>
    <w:rsid w:val="263E440B"/>
    <w:rsid w:val="26446DE3"/>
    <w:rsid w:val="269669E7"/>
    <w:rsid w:val="26BE379D"/>
    <w:rsid w:val="26CF15D0"/>
    <w:rsid w:val="26D7699F"/>
    <w:rsid w:val="270A095C"/>
    <w:rsid w:val="27124EF8"/>
    <w:rsid w:val="278E4F1E"/>
    <w:rsid w:val="294E0E09"/>
    <w:rsid w:val="29656152"/>
    <w:rsid w:val="29753B1D"/>
    <w:rsid w:val="297F3379"/>
    <w:rsid w:val="29E6E02F"/>
    <w:rsid w:val="2A334D60"/>
    <w:rsid w:val="2AF5C214"/>
    <w:rsid w:val="2B774624"/>
    <w:rsid w:val="2BA2543C"/>
    <w:rsid w:val="2C4136BD"/>
    <w:rsid w:val="2C7A72BE"/>
    <w:rsid w:val="2C9A7D75"/>
    <w:rsid w:val="2CC17412"/>
    <w:rsid w:val="2CC67A07"/>
    <w:rsid w:val="2DBE0B43"/>
    <w:rsid w:val="2DC86CB0"/>
    <w:rsid w:val="2E0B441F"/>
    <w:rsid w:val="2E2C64C0"/>
    <w:rsid w:val="2E9976CE"/>
    <w:rsid w:val="2EF44200"/>
    <w:rsid w:val="2F401D3C"/>
    <w:rsid w:val="2F5B24E1"/>
    <w:rsid w:val="2FA95C88"/>
    <w:rsid w:val="3041370F"/>
    <w:rsid w:val="312B50A3"/>
    <w:rsid w:val="31F775E3"/>
    <w:rsid w:val="3238172D"/>
    <w:rsid w:val="32453A27"/>
    <w:rsid w:val="3263064A"/>
    <w:rsid w:val="329357E5"/>
    <w:rsid w:val="32A43132"/>
    <w:rsid w:val="32AC0C06"/>
    <w:rsid w:val="32B07CE9"/>
    <w:rsid w:val="32BB78D8"/>
    <w:rsid w:val="32CE1184"/>
    <w:rsid w:val="33344EF5"/>
    <w:rsid w:val="338D74CA"/>
    <w:rsid w:val="34205306"/>
    <w:rsid w:val="34684D49"/>
    <w:rsid w:val="34951FE2"/>
    <w:rsid w:val="34CD7B31"/>
    <w:rsid w:val="353431B1"/>
    <w:rsid w:val="3537750C"/>
    <w:rsid w:val="3537798C"/>
    <w:rsid w:val="35C13FC9"/>
    <w:rsid w:val="362D5249"/>
    <w:rsid w:val="364257B6"/>
    <w:rsid w:val="36C12014"/>
    <w:rsid w:val="37EA5922"/>
    <w:rsid w:val="38276B93"/>
    <w:rsid w:val="38303DCF"/>
    <w:rsid w:val="384622F3"/>
    <w:rsid w:val="387243E8"/>
    <w:rsid w:val="38AC3431"/>
    <w:rsid w:val="392F2E16"/>
    <w:rsid w:val="39447431"/>
    <w:rsid w:val="39657EC9"/>
    <w:rsid w:val="398C4099"/>
    <w:rsid w:val="39AB6662"/>
    <w:rsid w:val="39B67E82"/>
    <w:rsid w:val="39D305D8"/>
    <w:rsid w:val="39E00529"/>
    <w:rsid w:val="39E251F0"/>
    <w:rsid w:val="3A0B64A7"/>
    <w:rsid w:val="3A271A0C"/>
    <w:rsid w:val="3A574DDA"/>
    <w:rsid w:val="3A725701"/>
    <w:rsid w:val="3A8078B6"/>
    <w:rsid w:val="3AD3075A"/>
    <w:rsid w:val="3AE434CE"/>
    <w:rsid w:val="3AF74C02"/>
    <w:rsid w:val="3B0B1FFB"/>
    <w:rsid w:val="3B60044E"/>
    <w:rsid w:val="3B7B3CDC"/>
    <w:rsid w:val="3B826352"/>
    <w:rsid w:val="3B984165"/>
    <w:rsid w:val="3BF962E4"/>
    <w:rsid w:val="3C0059A5"/>
    <w:rsid w:val="3C134E78"/>
    <w:rsid w:val="3C504A40"/>
    <w:rsid w:val="3CA01523"/>
    <w:rsid w:val="3CBB7436"/>
    <w:rsid w:val="3D85696B"/>
    <w:rsid w:val="3DA12DBB"/>
    <w:rsid w:val="3DB159B2"/>
    <w:rsid w:val="3DB70233"/>
    <w:rsid w:val="3DEC7285"/>
    <w:rsid w:val="3DF6345D"/>
    <w:rsid w:val="3E0168A2"/>
    <w:rsid w:val="3E06185A"/>
    <w:rsid w:val="3E2B5515"/>
    <w:rsid w:val="3E4D4F28"/>
    <w:rsid w:val="3E623B02"/>
    <w:rsid w:val="3EA858EF"/>
    <w:rsid w:val="3ED5122D"/>
    <w:rsid w:val="3EE13701"/>
    <w:rsid w:val="3F1A4BB3"/>
    <w:rsid w:val="3F8343EC"/>
    <w:rsid w:val="3F870779"/>
    <w:rsid w:val="4016069F"/>
    <w:rsid w:val="40192BA6"/>
    <w:rsid w:val="4037265A"/>
    <w:rsid w:val="4052684E"/>
    <w:rsid w:val="414C7ECC"/>
    <w:rsid w:val="41766EA9"/>
    <w:rsid w:val="41DD7C78"/>
    <w:rsid w:val="41E431C2"/>
    <w:rsid w:val="41E6310B"/>
    <w:rsid w:val="41F04468"/>
    <w:rsid w:val="422E75D1"/>
    <w:rsid w:val="42550A18"/>
    <w:rsid w:val="429D496A"/>
    <w:rsid w:val="42F473A1"/>
    <w:rsid w:val="435766B4"/>
    <w:rsid w:val="435B2EE5"/>
    <w:rsid w:val="437E0020"/>
    <w:rsid w:val="441E62C0"/>
    <w:rsid w:val="442E38B9"/>
    <w:rsid w:val="445A645C"/>
    <w:rsid w:val="4476700E"/>
    <w:rsid w:val="44817E8C"/>
    <w:rsid w:val="45157191"/>
    <w:rsid w:val="45325D14"/>
    <w:rsid w:val="456E7AC9"/>
    <w:rsid w:val="45811C7C"/>
    <w:rsid w:val="45906116"/>
    <w:rsid w:val="45FE550D"/>
    <w:rsid w:val="46645038"/>
    <w:rsid w:val="468B3EFB"/>
    <w:rsid w:val="46DA3884"/>
    <w:rsid w:val="46F10BCE"/>
    <w:rsid w:val="470A6193"/>
    <w:rsid w:val="47385210"/>
    <w:rsid w:val="47C876F9"/>
    <w:rsid w:val="47DC4F5C"/>
    <w:rsid w:val="483D2FCF"/>
    <w:rsid w:val="48B40671"/>
    <w:rsid w:val="498A7871"/>
    <w:rsid w:val="499B5738"/>
    <w:rsid w:val="499F244D"/>
    <w:rsid w:val="49C476B9"/>
    <w:rsid w:val="49D338FF"/>
    <w:rsid w:val="4A7C04AD"/>
    <w:rsid w:val="4A973F3F"/>
    <w:rsid w:val="4A9A7997"/>
    <w:rsid w:val="4ADC72B5"/>
    <w:rsid w:val="4AF96BC7"/>
    <w:rsid w:val="4B294BA7"/>
    <w:rsid w:val="4B5A416B"/>
    <w:rsid w:val="4B862A85"/>
    <w:rsid w:val="4C0D0D46"/>
    <w:rsid w:val="4CAF4B5B"/>
    <w:rsid w:val="4CEF36E2"/>
    <w:rsid w:val="4CEF4DC5"/>
    <w:rsid w:val="4D2641AC"/>
    <w:rsid w:val="4D99745C"/>
    <w:rsid w:val="4DA0023A"/>
    <w:rsid w:val="4DE27A93"/>
    <w:rsid w:val="4DFD2026"/>
    <w:rsid w:val="4E257655"/>
    <w:rsid w:val="4E2F6ABC"/>
    <w:rsid w:val="4E8E7871"/>
    <w:rsid w:val="4ECA14BF"/>
    <w:rsid w:val="4ED80FF1"/>
    <w:rsid w:val="4F372380"/>
    <w:rsid w:val="4F372FFB"/>
    <w:rsid w:val="4FC22199"/>
    <w:rsid w:val="4FD40784"/>
    <w:rsid w:val="50125E3D"/>
    <w:rsid w:val="501E106D"/>
    <w:rsid w:val="5025116D"/>
    <w:rsid w:val="505E3622"/>
    <w:rsid w:val="51067339"/>
    <w:rsid w:val="513F5914"/>
    <w:rsid w:val="51B40411"/>
    <w:rsid w:val="51B604D8"/>
    <w:rsid w:val="52320A18"/>
    <w:rsid w:val="52395ECD"/>
    <w:rsid w:val="52862B12"/>
    <w:rsid w:val="52A64F62"/>
    <w:rsid w:val="52C10D75"/>
    <w:rsid w:val="52F537F4"/>
    <w:rsid w:val="530E6F51"/>
    <w:rsid w:val="536410A5"/>
    <w:rsid w:val="5382152B"/>
    <w:rsid w:val="53C27FF8"/>
    <w:rsid w:val="53C733E2"/>
    <w:rsid w:val="53FA34E7"/>
    <w:rsid w:val="540909EB"/>
    <w:rsid w:val="540B0BFA"/>
    <w:rsid w:val="546E77AC"/>
    <w:rsid w:val="549E1A80"/>
    <w:rsid w:val="54C658F4"/>
    <w:rsid w:val="550C4BD7"/>
    <w:rsid w:val="5514499C"/>
    <w:rsid w:val="551B451A"/>
    <w:rsid w:val="554C1D56"/>
    <w:rsid w:val="55572986"/>
    <w:rsid w:val="558B0C34"/>
    <w:rsid w:val="55BE274C"/>
    <w:rsid w:val="55C062DD"/>
    <w:rsid w:val="565340FA"/>
    <w:rsid w:val="5679128A"/>
    <w:rsid w:val="570207F6"/>
    <w:rsid w:val="57232DB7"/>
    <w:rsid w:val="5723343E"/>
    <w:rsid w:val="573D7EAB"/>
    <w:rsid w:val="57862942"/>
    <w:rsid w:val="578F05A0"/>
    <w:rsid w:val="5898467A"/>
    <w:rsid w:val="58E261F9"/>
    <w:rsid w:val="595569C6"/>
    <w:rsid w:val="59AE5612"/>
    <w:rsid w:val="5A2F2CC8"/>
    <w:rsid w:val="5AB47665"/>
    <w:rsid w:val="5ACE5056"/>
    <w:rsid w:val="5AF820D3"/>
    <w:rsid w:val="5B597015"/>
    <w:rsid w:val="5BA26962"/>
    <w:rsid w:val="5C10702D"/>
    <w:rsid w:val="5C152601"/>
    <w:rsid w:val="5C3505B6"/>
    <w:rsid w:val="5C591F03"/>
    <w:rsid w:val="5C8A1B2F"/>
    <w:rsid w:val="5CC52489"/>
    <w:rsid w:val="5D914004"/>
    <w:rsid w:val="5ED30720"/>
    <w:rsid w:val="5F0441B1"/>
    <w:rsid w:val="5F197C1D"/>
    <w:rsid w:val="5F2C5137"/>
    <w:rsid w:val="5F504A47"/>
    <w:rsid w:val="5F561B72"/>
    <w:rsid w:val="5F944AC0"/>
    <w:rsid w:val="5FA60A35"/>
    <w:rsid w:val="606007BB"/>
    <w:rsid w:val="60AC7F66"/>
    <w:rsid w:val="60B539EF"/>
    <w:rsid w:val="611E2465"/>
    <w:rsid w:val="61BF10D9"/>
    <w:rsid w:val="61DA3D4C"/>
    <w:rsid w:val="62035F2D"/>
    <w:rsid w:val="627E3805"/>
    <w:rsid w:val="629B5777"/>
    <w:rsid w:val="62AC22DC"/>
    <w:rsid w:val="62B2525D"/>
    <w:rsid w:val="62BD432E"/>
    <w:rsid w:val="635927D4"/>
    <w:rsid w:val="637833E8"/>
    <w:rsid w:val="638135AD"/>
    <w:rsid w:val="63F9318A"/>
    <w:rsid w:val="64295C6C"/>
    <w:rsid w:val="64C86FBA"/>
    <w:rsid w:val="64E45EF7"/>
    <w:rsid w:val="651826D1"/>
    <w:rsid w:val="65197B5B"/>
    <w:rsid w:val="654237C0"/>
    <w:rsid w:val="65BF7E22"/>
    <w:rsid w:val="66636F9A"/>
    <w:rsid w:val="6691014E"/>
    <w:rsid w:val="669D0ED9"/>
    <w:rsid w:val="66C87CCE"/>
    <w:rsid w:val="671B5F35"/>
    <w:rsid w:val="677435B2"/>
    <w:rsid w:val="677C0558"/>
    <w:rsid w:val="677D408C"/>
    <w:rsid w:val="67BC1EF5"/>
    <w:rsid w:val="67EF75F1"/>
    <w:rsid w:val="68093B71"/>
    <w:rsid w:val="68ED5241"/>
    <w:rsid w:val="68EF247D"/>
    <w:rsid w:val="69124F16"/>
    <w:rsid w:val="694A5205"/>
    <w:rsid w:val="695A260F"/>
    <w:rsid w:val="696F3EA8"/>
    <w:rsid w:val="697A4B6F"/>
    <w:rsid w:val="69CD5C14"/>
    <w:rsid w:val="69CF0D33"/>
    <w:rsid w:val="6AA17890"/>
    <w:rsid w:val="6B5D66AE"/>
    <w:rsid w:val="6B827EC3"/>
    <w:rsid w:val="6B9946B3"/>
    <w:rsid w:val="6BBB7D24"/>
    <w:rsid w:val="6C0766A0"/>
    <w:rsid w:val="6C662189"/>
    <w:rsid w:val="6C7007C7"/>
    <w:rsid w:val="6CDA4768"/>
    <w:rsid w:val="6CE4695B"/>
    <w:rsid w:val="6D1234C8"/>
    <w:rsid w:val="6D275D62"/>
    <w:rsid w:val="6D807E51"/>
    <w:rsid w:val="6DE76850"/>
    <w:rsid w:val="6DF357B8"/>
    <w:rsid w:val="6E1669A2"/>
    <w:rsid w:val="6E3522FC"/>
    <w:rsid w:val="6E3C7EB8"/>
    <w:rsid w:val="6EC20751"/>
    <w:rsid w:val="6EFF1322"/>
    <w:rsid w:val="6F5B1797"/>
    <w:rsid w:val="6FB20BD4"/>
    <w:rsid w:val="6FB650F7"/>
    <w:rsid w:val="6FBA59BE"/>
    <w:rsid w:val="70296B3E"/>
    <w:rsid w:val="703F45D4"/>
    <w:rsid w:val="70433998"/>
    <w:rsid w:val="70611204"/>
    <w:rsid w:val="70906063"/>
    <w:rsid w:val="70A974F3"/>
    <w:rsid w:val="70C67AF8"/>
    <w:rsid w:val="718A4CEE"/>
    <w:rsid w:val="72F43567"/>
    <w:rsid w:val="73445350"/>
    <w:rsid w:val="73A806E2"/>
    <w:rsid w:val="73C80D84"/>
    <w:rsid w:val="747A5F1D"/>
    <w:rsid w:val="748E206D"/>
    <w:rsid w:val="74D742A2"/>
    <w:rsid w:val="74FA2C30"/>
    <w:rsid w:val="754D5C4B"/>
    <w:rsid w:val="75707935"/>
    <w:rsid w:val="75FE63F6"/>
    <w:rsid w:val="7683109C"/>
    <w:rsid w:val="76AC2297"/>
    <w:rsid w:val="76AE6010"/>
    <w:rsid w:val="76C240A7"/>
    <w:rsid w:val="77042B10"/>
    <w:rsid w:val="775246B7"/>
    <w:rsid w:val="77BA6C36"/>
    <w:rsid w:val="77C141C4"/>
    <w:rsid w:val="781E69D1"/>
    <w:rsid w:val="789A0873"/>
    <w:rsid w:val="79C45B4A"/>
    <w:rsid w:val="7A263B6B"/>
    <w:rsid w:val="7A2E1F2E"/>
    <w:rsid w:val="7A601D17"/>
    <w:rsid w:val="7A81105C"/>
    <w:rsid w:val="7AF46346"/>
    <w:rsid w:val="7B0F5EBF"/>
    <w:rsid w:val="7B130FB9"/>
    <w:rsid w:val="7BE2518E"/>
    <w:rsid w:val="7BF26CC4"/>
    <w:rsid w:val="7BF64EDE"/>
    <w:rsid w:val="7BF65F73"/>
    <w:rsid w:val="7C102E50"/>
    <w:rsid w:val="7C400C1E"/>
    <w:rsid w:val="7C697AF4"/>
    <w:rsid w:val="7D8027B1"/>
    <w:rsid w:val="7DAF5265"/>
    <w:rsid w:val="7DC92A0F"/>
    <w:rsid w:val="7DD11708"/>
    <w:rsid w:val="7EBD579E"/>
    <w:rsid w:val="7EC167BD"/>
    <w:rsid w:val="7F272D9E"/>
    <w:rsid w:val="7F390D88"/>
    <w:rsid w:val="7F7338C5"/>
    <w:rsid w:val="7F89586C"/>
    <w:rsid w:val="A9FB57A4"/>
    <w:rsid w:val="BF7E5A78"/>
    <w:rsid w:val="D3FC9679"/>
    <w:rsid w:val="DFF7792F"/>
    <w:rsid w:val="E5C78DFF"/>
    <w:rsid w:val="F2BFB29A"/>
    <w:rsid w:val="F5F360DE"/>
    <w:rsid w:val="FFEDE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41"/>
    <w:qFormat/>
    <w:uiPriority w:val="0"/>
    <w:pPr>
      <w:keepNext/>
      <w:keepLines/>
      <w:spacing w:before="260" w:after="260" w:line="416" w:lineRule="auto"/>
      <w:outlineLvl w:val="2"/>
    </w:pPr>
    <w:rPr>
      <w:b/>
      <w:bCs/>
      <w:sz w:val="32"/>
      <w:szCs w:val="32"/>
    </w:rPr>
  </w:style>
  <w:style w:type="paragraph" w:styleId="6">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7">
    <w:name w:val="heading 5"/>
    <w:basedOn w:val="1"/>
    <w:next w:val="8"/>
    <w:link w:val="42"/>
    <w:qFormat/>
    <w:uiPriority w:val="0"/>
    <w:pPr>
      <w:keepNext/>
      <w:keepLines/>
      <w:spacing w:before="280" w:after="290" w:line="376" w:lineRule="auto"/>
      <w:outlineLvl w:val="4"/>
    </w:pPr>
    <w:rPr>
      <w:b/>
      <w:bCs/>
      <w:sz w:val="28"/>
      <w:szCs w:val="28"/>
    </w:rPr>
  </w:style>
  <w:style w:type="paragraph" w:styleId="9">
    <w:name w:val="heading 8"/>
    <w:basedOn w:val="1"/>
    <w:next w:val="1"/>
    <w:link w:val="43"/>
    <w:qFormat/>
    <w:uiPriority w:val="0"/>
    <w:pPr>
      <w:keepNext/>
      <w:keepLines/>
      <w:spacing w:before="240" w:after="64" w:line="320" w:lineRule="auto"/>
      <w:outlineLvl w:val="7"/>
    </w:pPr>
    <w:rPr>
      <w:rFonts w:ascii="等线 Light" w:hAnsi="等线 Light" w:eastAsia="等线 Light"/>
      <w:sz w:val="24"/>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jc w:val="center"/>
    </w:pPr>
    <w:rPr>
      <w:sz w:val="30"/>
    </w:rPr>
  </w:style>
  <w:style w:type="paragraph" w:styleId="8">
    <w:name w:val="Normal Indent"/>
    <w:basedOn w:val="1"/>
    <w:qFormat/>
    <w:uiPriority w:val="0"/>
    <w:pPr>
      <w:ind w:firstLine="420"/>
    </w:pPr>
    <w:rPr>
      <w:szCs w:val="20"/>
    </w:r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4"/>
    <w:qFormat/>
    <w:uiPriority w:val="0"/>
    <w:pPr>
      <w:jc w:val="left"/>
    </w:pPr>
  </w:style>
  <w:style w:type="paragraph" w:styleId="12">
    <w:name w:val="Body Text 3"/>
    <w:basedOn w:val="1"/>
    <w:link w:val="45"/>
    <w:qFormat/>
    <w:uiPriority w:val="0"/>
    <w:pPr>
      <w:spacing w:after="120"/>
    </w:pPr>
    <w:rPr>
      <w:sz w:val="16"/>
      <w:szCs w:val="16"/>
    </w:rPr>
  </w:style>
  <w:style w:type="paragraph" w:styleId="13">
    <w:name w:val="Body Text"/>
    <w:basedOn w:val="1"/>
    <w:next w:val="14"/>
    <w:link w:val="46"/>
    <w:unhideWhenUsed/>
    <w:qFormat/>
    <w:uiPriority w:val="0"/>
    <w:pPr>
      <w:spacing w:after="120"/>
    </w:pPr>
  </w:style>
  <w:style w:type="paragraph" w:styleId="14">
    <w:name w:val="Body Text First Indent 2"/>
    <w:basedOn w:val="15"/>
    <w:unhideWhenUsed/>
    <w:qFormat/>
    <w:uiPriority w:val="0"/>
    <w:pPr>
      <w:ind w:firstLine="420" w:firstLineChars="200"/>
    </w:pPr>
  </w:style>
  <w:style w:type="paragraph" w:styleId="15">
    <w:name w:val="Body Text Indent"/>
    <w:basedOn w:val="1"/>
    <w:next w:val="16"/>
    <w:link w:val="47"/>
    <w:qFormat/>
    <w:uiPriority w:val="0"/>
    <w:pPr>
      <w:ind w:firstLine="830" w:firstLineChars="352"/>
    </w:pPr>
    <w:rPr>
      <w:rFonts w:ascii="仿宋_GB2312" w:eastAsia="仿宋_GB2312"/>
      <w:kern w:val="0"/>
      <w:sz w:val="32"/>
      <w:szCs w:val="20"/>
    </w:rPr>
  </w:style>
  <w:style w:type="paragraph" w:styleId="16">
    <w:name w:val="envelope return"/>
    <w:basedOn w:val="1"/>
    <w:qFormat/>
    <w:uiPriority w:val="0"/>
    <w:pPr>
      <w:snapToGrid w:val="0"/>
    </w:pPr>
    <w:rPr>
      <w:rFonts w:ascii="Arial" w:hAnsi="Arial"/>
    </w:rPr>
  </w:style>
  <w:style w:type="paragraph" w:styleId="17">
    <w:name w:val="List 2"/>
    <w:basedOn w:val="1"/>
    <w:qFormat/>
    <w:uiPriority w:val="0"/>
    <w:pPr>
      <w:ind w:left="100" w:leftChars="200" w:hanging="200" w:hangingChars="200"/>
      <w:contextualSpacing/>
    </w:pPr>
  </w:style>
  <w:style w:type="paragraph" w:styleId="18">
    <w:name w:val="toc 3"/>
    <w:basedOn w:val="1"/>
    <w:next w:val="1"/>
    <w:qFormat/>
    <w:uiPriority w:val="0"/>
    <w:pPr>
      <w:ind w:left="840" w:leftChars="400"/>
    </w:pPr>
  </w:style>
  <w:style w:type="paragraph" w:styleId="19">
    <w:name w:val="Plain Text"/>
    <w:basedOn w:val="1"/>
    <w:link w:val="48"/>
    <w:qFormat/>
    <w:uiPriority w:val="0"/>
    <w:rPr>
      <w:rFonts w:ascii="宋体" w:hAnsi="Courier New"/>
      <w:kern w:val="0"/>
      <w:sz w:val="20"/>
      <w:szCs w:val="21"/>
    </w:rPr>
  </w:style>
  <w:style w:type="paragraph" w:styleId="20">
    <w:name w:val="Date"/>
    <w:basedOn w:val="1"/>
    <w:next w:val="1"/>
    <w:link w:val="49"/>
    <w:qFormat/>
    <w:uiPriority w:val="0"/>
    <w:pPr>
      <w:ind w:left="100" w:leftChars="2500"/>
    </w:pPr>
  </w:style>
  <w:style w:type="paragraph" w:styleId="21">
    <w:name w:val="Balloon Text"/>
    <w:basedOn w:val="1"/>
    <w:link w:val="50"/>
    <w:qFormat/>
    <w:uiPriority w:val="0"/>
    <w:rPr>
      <w:sz w:val="18"/>
      <w:szCs w:val="18"/>
    </w:rPr>
  </w:style>
  <w:style w:type="paragraph" w:styleId="22">
    <w:name w:val="footer"/>
    <w:basedOn w:val="1"/>
    <w:link w:val="51"/>
    <w:qFormat/>
    <w:uiPriority w:val="0"/>
    <w:pPr>
      <w:tabs>
        <w:tab w:val="center" w:pos="4153"/>
        <w:tab w:val="right" w:pos="8306"/>
      </w:tabs>
      <w:snapToGrid w:val="0"/>
      <w:jc w:val="left"/>
    </w:pPr>
    <w:rPr>
      <w:kern w:val="0"/>
      <w:sz w:val="18"/>
      <w:szCs w:val="18"/>
    </w:rPr>
  </w:style>
  <w:style w:type="paragraph" w:styleId="23">
    <w:name w:val="header"/>
    <w:basedOn w:val="1"/>
    <w:link w:val="52"/>
    <w:qFormat/>
    <w:uiPriority w:val="0"/>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qFormat/>
    <w:uiPriority w:val="0"/>
  </w:style>
  <w:style w:type="paragraph" w:styleId="25">
    <w:name w:val="List"/>
    <w:basedOn w:val="1"/>
    <w:qFormat/>
    <w:uiPriority w:val="0"/>
    <w:pPr>
      <w:ind w:left="200" w:hanging="200" w:hangingChars="200"/>
      <w:contextualSpacing/>
    </w:pPr>
  </w:style>
  <w:style w:type="paragraph" w:styleId="26">
    <w:name w:val="toc 2"/>
    <w:basedOn w:val="1"/>
    <w:next w:val="1"/>
    <w:qFormat/>
    <w:uiPriority w:val="0"/>
    <w:pPr>
      <w:tabs>
        <w:tab w:val="right" w:leader="dot" w:pos="8296"/>
      </w:tabs>
      <w:ind w:left="420" w:leftChars="200"/>
    </w:pPr>
  </w:style>
  <w:style w:type="paragraph" w:styleId="27">
    <w:name w:val="Normal (Web)"/>
    <w:basedOn w:val="1"/>
    <w:qFormat/>
    <w:uiPriority w:val="0"/>
    <w:rPr>
      <w:rFonts w:ascii="Calibri" w:hAnsi="Calibri"/>
      <w:kern w:val="0"/>
      <w:sz w:val="24"/>
    </w:rPr>
  </w:style>
  <w:style w:type="paragraph" w:styleId="28">
    <w:name w:val="annotation subject"/>
    <w:basedOn w:val="11"/>
    <w:next w:val="11"/>
    <w:link w:val="53"/>
    <w:qFormat/>
    <w:uiPriority w:val="0"/>
    <w:rPr>
      <w:b/>
      <w:bCs/>
    </w:rPr>
  </w:style>
  <w:style w:type="paragraph" w:styleId="29">
    <w:name w:val="Body Text First Indent"/>
    <w:basedOn w:val="13"/>
    <w:next w:val="1"/>
    <w:qFormat/>
    <w:uiPriority w:val="0"/>
    <w:pPr>
      <w:ind w:firstLine="420"/>
    </w:pPr>
    <w:rPr>
      <w:sz w:val="24"/>
      <w:szCs w:val="20"/>
    </w:rPr>
  </w:style>
  <w:style w:type="table" w:styleId="31">
    <w:name w:val="Table Grid"/>
    <w:basedOn w:val="3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qFormat/>
    <w:uiPriority w:val="22"/>
    <w:rPr>
      <w:b/>
    </w:rPr>
  </w:style>
  <w:style w:type="character" w:styleId="34">
    <w:name w:val="endnote reference"/>
    <w:qFormat/>
    <w:uiPriority w:val="0"/>
    <w:rPr>
      <w:vertAlign w:val="superscript"/>
    </w:rPr>
  </w:style>
  <w:style w:type="character" w:styleId="35">
    <w:name w:val="page number"/>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标题 1 字符2"/>
    <w:link w:val="3"/>
    <w:qFormat/>
    <w:uiPriority w:val="9"/>
    <w:rPr>
      <w:b/>
      <w:bCs/>
      <w:kern w:val="44"/>
      <w:sz w:val="44"/>
      <w:szCs w:val="44"/>
    </w:rPr>
  </w:style>
  <w:style w:type="character" w:customStyle="1" w:styleId="40">
    <w:name w:val="标题 2 字符1"/>
    <w:link w:val="4"/>
    <w:qFormat/>
    <w:uiPriority w:val="9"/>
    <w:rPr>
      <w:rFonts w:ascii="Cambria" w:hAnsi="Cambria" w:eastAsia="宋体" w:cs="Times New Roman"/>
      <w:b/>
      <w:bCs/>
      <w:kern w:val="2"/>
      <w:sz w:val="32"/>
      <w:szCs w:val="32"/>
    </w:rPr>
  </w:style>
  <w:style w:type="character" w:customStyle="1" w:styleId="41">
    <w:name w:val="标题 3 字符1"/>
    <w:link w:val="5"/>
    <w:qFormat/>
    <w:uiPriority w:val="9"/>
    <w:rPr>
      <w:b/>
      <w:bCs/>
      <w:kern w:val="2"/>
      <w:sz w:val="32"/>
      <w:szCs w:val="32"/>
    </w:rPr>
  </w:style>
  <w:style w:type="character" w:customStyle="1" w:styleId="42">
    <w:name w:val="标题 5 字符1"/>
    <w:link w:val="7"/>
    <w:qFormat/>
    <w:uiPriority w:val="9"/>
    <w:rPr>
      <w:rFonts w:ascii="Times New Roman" w:hAnsi="Times New Roman"/>
      <w:b/>
      <w:bCs/>
      <w:kern w:val="2"/>
      <w:sz w:val="28"/>
      <w:szCs w:val="28"/>
    </w:rPr>
  </w:style>
  <w:style w:type="character" w:customStyle="1" w:styleId="43">
    <w:name w:val="标题 8 字符1"/>
    <w:link w:val="9"/>
    <w:qFormat/>
    <w:uiPriority w:val="9"/>
    <w:rPr>
      <w:rFonts w:ascii="等线 Light" w:hAnsi="等线 Light" w:eastAsia="等线 Light" w:cs="Times New Roman"/>
      <w:kern w:val="2"/>
      <w:sz w:val="24"/>
      <w:szCs w:val="24"/>
    </w:rPr>
  </w:style>
  <w:style w:type="character" w:customStyle="1" w:styleId="44">
    <w:name w:val="批注文字 字符3"/>
    <w:link w:val="11"/>
    <w:qFormat/>
    <w:uiPriority w:val="0"/>
    <w:rPr>
      <w:rFonts w:ascii="Times New Roman" w:hAnsi="Times New Roman"/>
      <w:kern w:val="2"/>
      <w:sz w:val="21"/>
      <w:szCs w:val="24"/>
    </w:rPr>
  </w:style>
  <w:style w:type="character" w:customStyle="1" w:styleId="45">
    <w:name w:val="正文文本 3 字符1"/>
    <w:link w:val="12"/>
    <w:qFormat/>
    <w:uiPriority w:val="99"/>
    <w:rPr>
      <w:kern w:val="2"/>
      <w:sz w:val="16"/>
      <w:szCs w:val="16"/>
    </w:rPr>
  </w:style>
  <w:style w:type="character" w:customStyle="1" w:styleId="46">
    <w:name w:val="正文文本 字符2"/>
    <w:link w:val="13"/>
    <w:qFormat/>
    <w:uiPriority w:val="0"/>
    <w:rPr>
      <w:rFonts w:ascii="Times New Roman" w:hAnsi="Times New Roman"/>
      <w:kern w:val="2"/>
      <w:sz w:val="21"/>
      <w:szCs w:val="24"/>
    </w:rPr>
  </w:style>
  <w:style w:type="character" w:customStyle="1" w:styleId="47">
    <w:name w:val="正文文本缩进 字符1"/>
    <w:link w:val="15"/>
    <w:qFormat/>
    <w:uiPriority w:val="0"/>
    <w:rPr>
      <w:rFonts w:ascii="仿宋_GB2312" w:hAnsi="Times New Roman" w:eastAsia="仿宋_GB2312" w:cs="Times New Roman"/>
      <w:sz w:val="32"/>
      <w:szCs w:val="20"/>
    </w:rPr>
  </w:style>
  <w:style w:type="character" w:customStyle="1" w:styleId="48">
    <w:name w:val="纯文本 字符4"/>
    <w:link w:val="19"/>
    <w:qFormat/>
    <w:uiPriority w:val="0"/>
    <w:rPr>
      <w:rFonts w:ascii="宋体" w:hAnsi="Courier New" w:eastAsia="宋体" w:cs="Courier New"/>
      <w:szCs w:val="21"/>
    </w:rPr>
  </w:style>
  <w:style w:type="character" w:customStyle="1" w:styleId="49">
    <w:name w:val="日期 字符1"/>
    <w:link w:val="20"/>
    <w:qFormat/>
    <w:uiPriority w:val="99"/>
    <w:rPr>
      <w:rFonts w:ascii="Times New Roman" w:hAnsi="Times New Roman"/>
      <w:kern w:val="2"/>
      <w:sz w:val="21"/>
      <w:szCs w:val="24"/>
    </w:rPr>
  </w:style>
  <w:style w:type="character" w:customStyle="1" w:styleId="50">
    <w:name w:val="批注框文本 字符"/>
    <w:link w:val="21"/>
    <w:semiHidden/>
    <w:qFormat/>
    <w:uiPriority w:val="99"/>
    <w:rPr>
      <w:kern w:val="2"/>
      <w:sz w:val="18"/>
      <w:szCs w:val="18"/>
    </w:rPr>
  </w:style>
  <w:style w:type="character" w:customStyle="1" w:styleId="51">
    <w:name w:val="页脚 字符1"/>
    <w:link w:val="22"/>
    <w:qFormat/>
    <w:uiPriority w:val="99"/>
    <w:rPr>
      <w:sz w:val="18"/>
      <w:szCs w:val="18"/>
    </w:rPr>
  </w:style>
  <w:style w:type="character" w:customStyle="1" w:styleId="52">
    <w:name w:val="页眉 字符1"/>
    <w:link w:val="23"/>
    <w:qFormat/>
    <w:uiPriority w:val="99"/>
    <w:rPr>
      <w:sz w:val="18"/>
      <w:szCs w:val="18"/>
    </w:rPr>
  </w:style>
  <w:style w:type="character" w:customStyle="1" w:styleId="53">
    <w:name w:val="批注主题 字符1"/>
    <w:link w:val="28"/>
    <w:qFormat/>
    <w:uiPriority w:val="99"/>
    <w:rPr>
      <w:rFonts w:ascii="Times New Roman" w:hAnsi="Times New Roman"/>
      <w:b/>
      <w:bCs/>
      <w:kern w:val="2"/>
      <w:sz w:val="21"/>
      <w:szCs w:val="24"/>
    </w:rPr>
  </w:style>
  <w:style w:type="paragraph" w:customStyle="1" w:styleId="54">
    <w:name w:val="正文1"/>
    <w:next w:val="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55">
    <w:name w:val="纯文本 字符2"/>
    <w:qFormat/>
    <w:uiPriority w:val="0"/>
    <w:rPr>
      <w:rFonts w:ascii="宋体" w:hAnsi="Courier New" w:eastAsia="宋体" w:cs="Courier New"/>
      <w:szCs w:val="21"/>
    </w:rPr>
  </w:style>
  <w:style w:type="character" w:customStyle="1" w:styleId="56">
    <w:name w:val="apple-style-span"/>
    <w:qFormat/>
    <w:uiPriority w:val="0"/>
  </w:style>
  <w:style w:type="character" w:customStyle="1" w:styleId="57">
    <w:name w:val="标题 2 Char"/>
    <w:qFormat/>
    <w:uiPriority w:val="9"/>
    <w:rPr>
      <w:rFonts w:ascii="Cambria" w:hAnsi="Cambria" w:eastAsia="宋体" w:cs="Times New Roman"/>
      <w:b/>
      <w:bCs/>
      <w:kern w:val="2"/>
      <w:sz w:val="32"/>
      <w:szCs w:val="32"/>
    </w:rPr>
  </w:style>
  <w:style w:type="character" w:customStyle="1" w:styleId="58">
    <w:name w:val="纯文本 字符"/>
    <w:qFormat/>
    <w:uiPriority w:val="0"/>
    <w:rPr>
      <w:rFonts w:ascii="宋体" w:hAnsi="Courier New" w:eastAsia="宋体" w:cs="Courier New"/>
      <w:szCs w:val="21"/>
    </w:rPr>
  </w:style>
  <w:style w:type="character" w:customStyle="1" w:styleId="59">
    <w:name w:val="纯文本 字符1"/>
    <w:qFormat/>
    <w:uiPriority w:val="0"/>
    <w:rPr>
      <w:rFonts w:ascii="宋体" w:hAnsi="Courier New"/>
    </w:rPr>
  </w:style>
  <w:style w:type="character" w:customStyle="1" w:styleId="60">
    <w:name w:val="标题 8 Char"/>
    <w:qFormat/>
    <w:uiPriority w:val="0"/>
    <w:rPr>
      <w:rFonts w:ascii="Arial" w:hAnsi="Arial" w:eastAsia="黑体"/>
      <w:kern w:val="2"/>
      <w:sz w:val="24"/>
      <w:szCs w:val="24"/>
    </w:rPr>
  </w:style>
  <w:style w:type="character" w:customStyle="1" w:styleId="61">
    <w:name w:val="纯文本 Char"/>
    <w:qFormat/>
    <w:uiPriority w:val="0"/>
    <w:rPr>
      <w:rFonts w:ascii="宋体" w:hAnsi="Courier New" w:eastAsia="宋体" w:cs="Courier New"/>
      <w:szCs w:val="21"/>
    </w:rPr>
  </w:style>
  <w:style w:type="character" w:customStyle="1" w:styleId="62">
    <w:name w:val="正文文本 Char"/>
    <w:qFormat/>
    <w:uiPriority w:val="0"/>
    <w:rPr>
      <w:rFonts w:ascii="Times New Roman" w:hAnsi="Times New Roman"/>
      <w:kern w:val="2"/>
      <w:sz w:val="21"/>
      <w:szCs w:val="24"/>
    </w:rPr>
  </w:style>
  <w:style w:type="character" w:customStyle="1" w:styleId="63">
    <w:name w:val="批注文字 字符1"/>
    <w:qFormat/>
    <w:uiPriority w:val="0"/>
    <w:rPr>
      <w:rFonts w:ascii="Times New Roman" w:hAnsi="Times New Roman"/>
      <w:kern w:val="2"/>
      <w:sz w:val="21"/>
      <w:szCs w:val="24"/>
    </w:rPr>
  </w:style>
  <w:style w:type="character" w:customStyle="1" w:styleId="6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5">
    <w:name w:val="标题 1 字符1"/>
    <w:qFormat/>
    <w:uiPriority w:val="0"/>
    <w:rPr>
      <w:b/>
      <w:bCs/>
      <w:kern w:val="44"/>
      <w:sz w:val="44"/>
      <w:szCs w:val="44"/>
    </w:rPr>
  </w:style>
  <w:style w:type="character" w:customStyle="1" w:styleId="66">
    <w:name w:val="正文文本 字符"/>
    <w:qFormat/>
    <w:uiPriority w:val="0"/>
    <w:rPr>
      <w:rFonts w:ascii="Times New Roman" w:hAnsi="Times New Roman"/>
      <w:kern w:val="2"/>
      <w:sz w:val="21"/>
      <w:szCs w:val="24"/>
    </w:rPr>
  </w:style>
  <w:style w:type="character" w:customStyle="1" w:styleId="67">
    <w:name w:val="批注文字 字符"/>
    <w:qFormat/>
    <w:uiPriority w:val="0"/>
    <w:rPr>
      <w:rFonts w:ascii="Times New Roman" w:hAnsi="Times New Roman"/>
      <w:kern w:val="2"/>
      <w:sz w:val="21"/>
      <w:szCs w:val="24"/>
    </w:rPr>
  </w:style>
  <w:style w:type="character" w:customStyle="1" w:styleId="68">
    <w:name w:val="textcontents"/>
    <w:qFormat/>
    <w:uiPriority w:val="0"/>
  </w:style>
  <w:style w:type="character" w:customStyle="1" w:styleId="69">
    <w:name w:val="批注文字 Char"/>
    <w:qFormat/>
    <w:uiPriority w:val="0"/>
    <w:rPr>
      <w:rFonts w:ascii="Times New Roman" w:hAnsi="Times New Roman"/>
      <w:kern w:val="2"/>
      <w:sz w:val="21"/>
      <w:szCs w:val="24"/>
    </w:rPr>
  </w:style>
  <w:style w:type="paragraph" w:customStyle="1" w:styleId="70">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71">
    <w:name w:val="List Paragraph"/>
    <w:basedOn w:val="1"/>
    <w:qFormat/>
    <w:uiPriority w:val="34"/>
    <w:pPr>
      <w:ind w:firstLine="420" w:firstLineChars="200"/>
    </w:pPr>
  </w:style>
  <w:style w:type="paragraph" w:customStyle="1" w:styleId="72">
    <w:name w:val="默认段落字体 Para Char Char Char Char Char Char Char Char Char1 Char Char Char Char"/>
    <w:basedOn w:val="1"/>
    <w:uiPriority w:val="99"/>
    <w:rPr>
      <w:rFonts w:ascii="Tahoma" w:hAnsi="Tahoma"/>
      <w:sz w:val="24"/>
      <w:szCs w:val="20"/>
    </w:rPr>
  </w:style>
  <w:style w:type="paragraph" w:customStyle="1" w:styleId="73">
    <w:name w:val="Table Paragraph"/>
    <w:basedOn w:val="1"/>
    <w:qFormat/>
    <w:uiPriority w:val="1"/>
    <w:pPr>
      <w:jc w:val="left"/>
    </w:pPr>
    <w:rPr>
      <w:rFonts w:ascii="Calibri" w:hAnsi="Calibri"/>
      <w:kern w:val="0"/>
      <w:sz w:val="22"/>
      <w:szCs w:val="22"/>
      <w:lang w:eastAsia="en-US"/>
    </w:rPr>
  </w:style>
  <w:style w:type="paragraph" w:customStyle="1" w:styleId="74">
    <w:name w:val="Char Char Char Char"/>
    <w:basedOn w:val="1"/>
    <w:qFormat/>
    <w:uiPriority w:val="99"/>
    <w:pPr>
      <w:widowControl/>
      <w:spacing w:after="160" w:line="240" w:lineRule="exact"/>
      <w:jc w:val="left"/>
    </w:pPr>
  </w:style>
  <w:style w:type="character" w:customStyle="1" w:styleId="75">
    <w:name w:val="Unresolved Mention"/>
    <w:unhideWhenUsed/>
    <w:qFormat/>
    <w:uiPriority w:val="99"/>
    <w:rPr>
      <w:color w:val="605E5C"/>
      <w:shd w:val="clear" w:color="auto" w:fill="E1DFDD"/>
    </w:rPr>
  </w:style>
  <w:style w:type="paragraph" w:customStyle="1" w:styleId="76">
    <w:name w:val="TOC Heading"/>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7">
    <w:name w:val="正文2 Char Char"/>
    <w:link w:val="78"/>
    <w:qFormat/>
    <w:uiPriority w:val="0"/>
    <w:rPr>
      <w:sz w:val="24"/>
    </w:rPr>
  </w:style>
  <w:style w:type="paragraph" w:customStyle="1" w:styleId="78">
    <w:name w:val="正文2"/>
    <w:basedOn w:val="1"/>
    <w:link w:val="77"/>
    <w:qFormat/>
    <w:uiPriority w:val="0"/>
    <w:pPr>
      <w:adjustRightInd w:val="0"/>
      <w:spacing w:before="156" w:line="360" w:lineRule="auto"/>
      <w:ind w:firstLine="510" w:firstLineChars="200"/>
    </w:pPr>
    <w:rPr>
      <w:kern w:val="0"/>
      <w:sz w:val="24"/>
      <w:szCs w:val="20"/>
    </w:rPr>
  </w:style>
  <w:style w:type="paragraph" w:customStyle="1" w:styleId="79">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80">
    <w:name w:val="正文缩进1"/>
    <w:basedOn w:val="1"/>
    <w:next w:val="15"/>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81">
    <w:name w:val="标题 1 字符"/>
    <w:qFormat/>
    <w:uiPriority w:val="9"/>
    <w:rPr>
      <w:b/>
      <w:bCs/>
      <w:kern w:val="44"/>
      <w:sz w:val="44"/>
      <w:szCs w:val="44"/>
    </w:rPr>
  </w:style>
  <w:style w:type="character" w:customStyle="1" w:styleId="82">
    <w:name w:val="标题 2 字符"/>
    <w:qFormat/>
    <w:uiPriority w:val="9"/>
    <w:rPr>
      <w:rFonts w:ascii="Cambria" w:hAnsi="Cambria"/>
      <w:b/>
      <w:bCs/>
      <w:kern w:val="2"/>
      <w:sz w:val="32"/>
      <w:szCs w:val="32"/>
    </w:rPr>
  </w:style>
  <w:style w:type="character" w:customStyle="1" w:styleId="83">
    <w:name w:val="标题 3 字符"/>
    <w:qFormat/>
    <w:uiPriority w:val="9"/>
    <w:rPr>
      <w:b/>
      <w:bCs/>
      <w:kern w:val="2"/>
      <w:sz w:val="32"/>
      <w:szCs w:val="32"/>
    </w:rPr>
  </w:style>
  <w:style w:type="character" w:customStyle="1" w:styleId="84">
    <w:name w:val="标题 5 字符"/>
    <w:qFormat/>
    <w:uiPriority w:val="9"/>
    <w:rPr>
      <w:b/>
      <w:bCs/>
      <w:kern w:val="2"/>
      <w:sz w:val="28"/>
      <w:szCs w:val="28"/>
    </w:rPr>
  </w:style>
  <w:style w:type="character" w:customStyle="1" w:styleId="85">
    <w:name w:val="标题 8 字符"/>
    <w:qFormat/>
    <w:uiPriority w:val="9"/>
    <w:rPr>
      <w:rFonts w:ascii="等线 Light" w:hAnsi="等线 Light" w:eastAsia="等线 Light"/>
      <w:kern w:val="2"/>
      <w:sz w:val="24"/>
      <w:szCs w:val="24"/>
    </w:rPr>
  </w:style>
  <w:style w:type="character" w:customStyle="1" w:styleId="86">
    <w:name w:val="批注文字 字符2"/>
    <w:qFormat/>
    <w:uiPriority w:val="99"/>
    <w:rPr>
      <w:kern w:val="2"/>
      <w:sz w:val="21"/>
      <w:szCs w:val="24"/>
    </w:rPr>
  </w:style>
  <w:style w:type="character" w:customStyle="1" w:styleId="87">
    <w:name w:val="正文文本 3 字符"/>
    <w:qFormat/>
    <w:uiPriority w:val="99"/>
    <w:rPr>
      <w:kern w:val="2"/>
      <w:sz w:val="16"/>
      <w:szCs w:val="16"/>
    </w:rPr>
  </w:style>
  <w:style w:type="character" w:customStyle="1" w:styleId="88">
    <w:name w:val="正文文本 字符1"/>
    <w:qFormat/>
    <w:uiPriority w:val="99"/>
    <w:rPr>
      <w:kern w:val="2"/>
      <w:sz w:val="21"/>
      <w:szCs w:val="24"/>
    </w:rPr>
  </w:style>
  <w:style w:type="character" w:customStyle="1" w:styleId="89">
    <w:name w:val="正文文本缩进 字符"/>
    <w:qFormat/>
    <w:uiPriority w:val="99"/>
    <w:rPr>
      <w:rFonts w:ascii="仿宋_GB2312" w:eastAsia="仿宋_GB2312"/>
      <w:sz w:val="32"/>
    </w:rPr>
  </w:style>
  <w:style w:type="character" w:customStyle="1" w:styleId="90">
    <w:name w:val="纯文本 字符3"/>
    <w:qFormat/>
    <w:uiPriority w:val="99"/>
    <w:rPr>
      <w:rFonts w:ascii="宋体" w:hAnsi="Courier New"/>
      <w:szCs w:val="21"/>
    </w:rPr>
  </w:style>
  <w:style w:type="character" w:customStyle="1" w:styleId="91">
    <w:name w:val="日期 字符"/>
    <w:qFormat/>
    <w:uiPriority w:val="99"/>
    <w:rPr>
      <w:kern w:val="2"/>
      <w:sz w:val="21"/>
      <w:szCs w:val="24"/>
    </w:rPr>
  </w:style>
  <w:style w:type="character" w:customStyle="1" w:styleId="92">
    <w:name w:val="页脚 字符"/>
    <w:qFormat/>
    <w:uiPriority w:val="99"/>
    <w:rPr>
      <w:sz w:val="18"/>
      <w:szCs w:val="18"/>
    </w:rPr>
  </w:style>
  <w:style w:type="character" w:customStyle="1" w:styleId="93">
    <w:name w:val="页眉 字符"/>
    <w:qFormat/>
    <w:uiPriority w:val="99"/>
    <w:rPr>
      <w:sz w:val="18"/>
      <w:szCs w:val="18"/>
    </w:rPr>
  </w:style>
  <w:style w:type="character" w:customStyle="1" w:styleId="94">
    <w:name w:val="批注主题 字符"/>
    <w:qFormat/>
    <w:uiPriority w:val="99"/>
    <w:rPr>
      <w:rFonts w:ascii="Times New Roman" w:hAnsi="Times New Roman"/>
      <w:b/>
      <w:bCs/>
      <w:kern w:val="2"/>
      <w:sz w:val="21"/>
      <w:szCs w:val="24"/>
    </w:rPr>
  </w:style>
  <w:style w:type="paragraph" w:customStyle="1" w:styleId="95">
    <w:name w:val="_Style 94"/>
    <w:basedOn w:val="1"/>
    <w:unhideWhenUsed/>
    <w:qFormat/>
    <w:uiPriority w:val="99"/>
  </w:style>
  <w:style w:type="paragraph" w:customStyle="1" w:styleId="96">
    <w:name w:val="_Style 95"/>
    <w:basedOn w:val="1"/>
    <w:unhideWhenUsed/>
    <w:qFormat/>
    <w:uiPriority w:val="99"/>
  </w:style>
  <w:style w:type="paragraph" w:customStyle="1" w:styleId="97">
    <w:name w:val="msonormal"/>
    <w:basedOn w:val="1"/>
    <w:qFormat/>
    <w:uiPriority w:val="99"/>
    <w:rPr>
      <w:rFonts w:ascii="Calibri" w:hAnsi="Calibri"/>
      <w:kern w:val="0"/>
      <w:sz w:val="24"/>
    </w:rPr>
  </w:style>
  <w:style w:type="paragraph" w:customStyle="1" w:styleId="98">
    <w:name w:val="表格文字"/>
    <w:qFormat/>
    <w:locked/>
    <w:uiPriority w:val="0"/>
    <w:pPr>
      <w:widowControl w:val="0"/>
      <w:jc w:val="both"/>
    </w:pPr>
    <w:rPr>
      <w:rFonts w:ascii="Times New Roman" w:hAnsi="Times New Roman" w:eastAsia="宋体" w:cs="Times New Roman"/>
      <w:bCs/>
      <w:spacing w:val="10"/>
      <w:kern w:val="2"/>
      <w:sz w:val="24"/>
      <w:szCs w:val="24"/>
      <w:lang w:val="en-US" w:eastAsia="zh-CN" w:bidi="ar-SA"/>
    </w:rPr>
  </w:style>
  <w:style w:type="paragraph" w:customStyle="1" w:styleId="99">
    <w:name w:val="Revision"/>
    <w:unhideWhenUsed/>
    <w:qFormat/>
    <w:uiPriority w:val="99"/>
    <w:rPr>
      <w:rFonts w:ascii="Times New Roman" w:hAnsi="Times New Roman" w:eastAsia="宋体" w:cs="Times New Roman"/>
      <w:kern w:val="2"/>
      <w:sz w:val="21"/>
      <w:szCs w:val="24"/>
      <w:lang w:val="en-US" w:eastAsia="zh-CN" w:bidi="ar-SA"/>
    </w:rPr>
  </w:style>
  <w:style w:type="paragraph" w:styleId="10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样式 样式 样式 四号 左侧:  1.53 厘米 + 首行缩进:  2 字符 + 居中 左侧:  2 字符 首行缩进:  2..."/>
    <w:basedOn w:val="102"/>
    <w:qFormat/>
    <w:uiPriority w:val="0"/>
    <w:pPr>
      <w:ind w:firstLine="0" w:firstLineChars="0"/>
      <w:jc w:val="center"/>
    </w:pPr>
    <w:rPr>
      <w:sz w:val="24"/>
    </w:rPr>
  </w:style>
  <w:style w:type="paragraph" w:customStyle="1" w:styleId="102">
    <w:name w:val="样式 样式 四号 左侧:  1.53 厘米 + 首行缩进:  2 字符"/>
    <w:basedOn w:val="103"/>
    <w:qFormat/>
    <w:uiPriority w:val="0"/>
    <w:pPr>
      <w:ind w:left="200" w:leftChars="200"/>
    </w:pPr>
    <w:rPr>
      <w:szCs w:val="20"/>
    </w:rPr>
  </w:style>
  <w:style w:type="paragraph" w:customStyle="1" w:styleId="103">
    <w:name w:val="样式 四号 左侧:  1.53 厘米"/>
    <w:qFormat/>
    <w:uiPriority w:val="0"/>
    <w:pPr>
      <w:widowControl w:val="0"/>
      <w:adjustRightInd w:val="0"/>
      <w:spacing w:line="360" w:lineRule="auto"/>
      <w:ind w:firstLine="881" w:firstLineChars="200"/>
      <w:jc w:val="both"/>
    </w:pPr>
    <w:rPr>
      <w:rFonts w:ascii="Times New Roman" w:hAnsi="Times New Roman" w:eastAsia="宋体" w:cs="Times New Roman"/>
      <w:w w:val="90"/>
      <w:kern w:val="2"/>
      <w:sz w:val="28"/>
      <w:szCs w:val="28"/>
      <w:lang w:val="en-US" w:eastAsia="zh-CN" w:bidi="ar-SA"/>
    </w:rPr>
  </w:style>
  <w:style w:type="paragraph" w:customStyle="1" w:styleId="104">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105">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69</Pages>
  <Words>9065</Words>
  <Characters>51677</Characters>
  <Lines>430</Lines>
  <Paragraphs>121</Paragraphs>
  <TotalTime>14</TotalTime>
  <ScaleCrop>false</ScaleCrop>
  <LinksUpToDate>false</LinksUpToDate>
  <CharactersWithSpaces>60621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2026-06-16T02:32:00Z</dcterms:created>
  <dc:creator>龙头老大</dc:creator>
  <cp:lastModifiedBy>bolo</cp:lastModifiedBy>
  <cp:lastPrinted>2026-05-12T00:40:00Z</cp:lastPrinted>
  <dcterms:modified xsi:type="dcterms:W3CDTF">2026-06-17T01:49:24Z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5B1F0B0623724E67B440A29755AC1661_13</vt:lpwstr>
  </property>
  <property fmtid="{D5CDD505-2E9C-101B-9397-08002B2CF9AE}" pid="4" name="KSOTemplateDocerSaveRecord">
    <vt:lpwstr>eyJoZGlkIjoiZjAyYzM0MDMwYWUxNjU3NzgzYjFjMjc1N2YzYWZkZDAifQ==</vt:lpwstr>
  </property>
</Properties>
</file>