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33BF3">
      <w:pPr>
        <w:spacing w:line="680" w:lineRule="exact"/>
        <w:rPr>
          <w:rFonts w:ascii="方正小标宋简体" w:hAnsi="宋体" w:eastAsia="方正小标宋简体"/>
          <w:color w:val="auto"/>
          <w:sz w:val="44"/>
          <w:szCs w:val="44"/>
        </w:rPr>
      </w:pPr>
    </w:p>
    <w:p w14:paraId="085C8DD5">
      <w:pPr>
        <w:spacing w:line="360" w:lineRule="auto"/>
        <w:jc w:val="center"/>
        <w:rPr>
          <w:rFonts w:hint="eastAsia" w:ascii="宋体" w:hAnsi="宋体" w:cs="宋体"/>
          <w:b/>
          <w:bCs/>
          <w:color w:val="auto"/>
          <w:sz w:val="52"/>
          <w:szCs w:val="52"/>
        </w:rPr>
      </w:pPr>
    </w:p>
    <w:p w14:paraId="5D0C0412">
      <w:pPr>
        <w:spacing w:line="360" w:lineRule="auto"/>
        <w:jc w:val="center"/>
        <w:rPr>
          <w:rFonts w:ascii="宋体" w:hAnsi="宋体" w:cs="宋体"/>
          <w:b/>
          <w:bCs/>
          <w:color w:val="auto"/>
          <w:sz w:val="52"/>
          <w:szCs w:val="52"/>
        </w:rPr>
      </w:pPr>
      <w:r>
        <w:rPr>
          <w:rFonts w:hint="eastAsia" w:ascii="宋体" w:hAnsi="宋体" w:cs="宋体"/>
          <w:b/>
          <w:bCs/>
          <w:color w:val="auto"/>
          <w:sz w:val="44"/>
          <w:szCs w:val="44"/>
          <w:u w:val="single"/>
        </w:rPr>
        <w:t xml:space="preserve"> </w:t>
      </w:r>
      <w:bookmarkStart w:id="0" w:name="OLE_LINK1"/>
      <w:r>
        <w:rPr>
          <w:rFonts w:hint="eastAsia" w:ascii="宋体" w:hAnsi="宋体" w:cs="宋体"/>
          <w:b/>
          <w:bCs/>
          <w:color w:val="auto"/>
          <w:sz w:val="44"/>
          <w:szCs w:val="44"/>
          <w:u w:val="single"/>
          <w:lang w:val="en-US" w:eastAsia="zh-CN"/>
        </w:rPr>
        <w:t>广西交通技师学院</w:t>
      </w:r>
      <w:bookmarkEnd w:id="0"/>
      <w:r>
        <w:rPr>
          <w:rFonts w:hint="eastAsia" w:ascii="宋体" w:hAnsi="宋体" w:cs="宋体"/>
          <w:b/>
          <w:bCs/>
          <w:color w:val="auto"/>
          <w:sz w:val="44"/>
          <w:szCs w:val="44"/>
          <w:u w:val="single"/>
          <w:lang w:val="en-US" w:eastAsia="zh-CN"/>
        </w:rPr>
        <w:t>后勤服务科办公家具</w:t>
      </w:r>
      <w:r>
        <w:rPr>
          <w:rFonts w:hint="eastAsia" w:ascii="宋体" w:hAnsi="宋体" w:cs="宋体"/>
          <w:b/>
          <w:bCs/>
          <w:color w:val="auto"/>
          <w:sz w:val="44"/>
          <w:szCs w:val="44"/>
          <w:u w:val="single"/>
        </w:rPr>
        <w:t xml:space="preserve"> </w:t>
      </w:r>
      <w:r>
        <w:rPr>
          <w:rFonts w:hint="eastAsia" w:ascii="宋体" w:hAnsi="宋体" w:cs="宋体"/>
          <w:b/>
          <w:bCs/>
          <w:color w:val="auto"/>
          <w:sz w:val="44"/>
          <w:szCs w:val="44"/>
        </w:rPr>
        <w:t>项目采购</w:t>
      </w:r>
    </w:p>
    <w:p w14:paraId="0E8DF2AA">
      <w:pPr>
        <w:jc w:val="center"/>
        <w:rPr>
          <w:rFonts w:ascii="宋体" w:hAnsi="宋体" w:cs="宋体"/>
          <w:b/>
          <w:bCs/>
          <w:color w:val="auto"/>
          <w:sz w:val="52"/>
          <w:szCs w:val="52"/>
        </w:rPr>
      </w:pPr>
    </w:p>
    <w:p w14:paraId="7E1C11B4">
      <w:pPr>
        <w:jc w:val="center"/>
        <w:rPr>
          <w:rFonts w:ascii="宋体" w:hAnsi="宋体" w:cs="宋体"/>
          <w:b/>
          <w:bCs/>
          <w:color w:val="auto"/>
          <w:sz w:val="52"/>
          <w:szCs w:val="52"/>
        </w:rPr>
      </w:pPr>
    </w:p>
    <w:p w14:paraId="437FCC0B">
      <w:pPr>
        <w:jc w:val="center"/>
        <w:rPr>
          <w:rFonts w:ascii="宋体" w:hAnsi="宋体" w:cs="宋体"/>
          <w:b/>
          <w:color w:val="auto"/>
          <w:sz w:val="72"/>
          <w:szCs w:val="20"/>
        </w:rPr>
      </w:pPr>
      <w:r>
        <w:rPr>
          <w:rFonts w:hint="eastAsia" w:ascii="宋体" w:hAnsi="宋体" w:cs="宋体"/>
          <w:b/>
          <w:color w:val="auto"/>
          <w:sz w:val="72"/>
          <w:szCs w:val="20"/>
        </w:rPr>
        <w:t>询</w:t>
      </w:r>
    </w:p>
    <w:p w14:paraId="764FE715">
      <w:pPr>
        <w:jc w:val="center"/>
        <w:rPr>
          <w:rFonts w:ascii="宋体" w:hAnsi="宋体" w:cs="宋体"/>
          <w:b/>
          <w:color w:val="auto"/>
          <w:sz w:val="72"/>
          <w:szCs w:val="20"/>
        </w:rPr>
      </w:pPr>
    </w:p>
    <w:p w14:paraId="0A703F68">
      <w:pPr>
        <w:jc w:val="center"/>
        <w:rPr>
          <w:rFonts w:ascii="宋体" w:hAnsi="宋体" w:cs="宋体"/>
          <w:b/>
          <w:color w:val="auto"/>
          <w:sz w:val="72"/>
          <w:szCs w:val="20"/>
        </w:rPr>
      </w:pPr>
      <w:r>
        <w:rPr>
          <w:rFonts w:hint="eastAsia" w:ascii="宋体" w:hAnsi="宋体" w:cs="宋体"/>
          <w:b/>
          <w:color w:val="auto"/>
          <w:sz w:val="72"/>
          <w:szCs w:val="20"/>
        </w:rPr>
        <w:t>价</w:t>
      </w:r>
    </w:p>
    <w:p w14:paraId="4D88D71C">
      <w:pPr>
        <w:pStyle w:val="27"/>
        <w:jc w:val="center"/>
        <w:rPr>
          <w:rFonts w:ascii="宋体" w:hAnsi="宋体" w:cs="宋体"/>
          <w:b/>
          <w:color w:val="auto"/>
          <w:sz w:val="72"/>
          <w:szCs w:val="20"/>
        </w:rPr>
      </w:pPr>
    </w:p>
    <w:p w14:paraId="6E7F04EC">
      <w:pPr>
        <w:jc w:val="center"/>
        <w:rPr>
          <w:rFonts w:ascii="宋体" w:hAnsi="宋体" w:cs="宋体"/>
          <w:b/>
          <w:color w:val="auto"/>
          <w:sz w:val="72"/>
          <w:szCs w:val="20"/>
        </w:rPr>
      </w:pPr>
      <w:r>
        <w:rPr>
          <w:rFonts w:hint="eastAsia" w:ascii="宋体" w:hAnsi="宋体" w:cs="宋体"/>
          <w:b/>
          <w:color w:val="auto"/>
          <w:sz w:val="72"/>
          <w:szCs w:val="20"/>
        </w:rPr>
        <w:t>文</w:t>
      </w:r>
    </w:p>
    <w:p w14:paraId="0B73766F">
      <w:pPr>
        <w:jc w:val="center"/>
        <w:rPr>
          <w:rFonts w:ascii="宋体" w:hAnsi="宋体" w:cs="宋体"/>
          <w:b/>
          <w:color w:val="auto"/>
          <w:sz w:val="72"/>
          <w:szCs w:val="20"/>
        </w:rPr>
      </w:pPr>
    </w:p>
    <w:p w14:paraId="38480B66">
      <w:pPr>
        <w:jc w:val="center"/>
        <w:rPr>
          <w:rFonts w:ascii="宋体" w:hAnsi="宋体" w:cs="宋体"/>
          <w:b/>
          <w:color w:val="auto"/>
          <w:sz w:val="72"/>
          <w:szCs w:val="20"/>
        </w:rPr>
      </w:pPr>
      <w:r>
        <w:rPr>
          <w:rFonts w:hint="eastAsia" w:ascii="宋体" w:hAnsi="宋体" w:cs="宋体"/>
          <w:b/>
          <w:color w:val="auto"/>
          <w:sz w:val="72"/>
          <w:szCs w:val="20"/>
        </w:rPr>
        <w:t>件</w:t>
      </w:r>
    </w:p>
    <w:p w14:paraId="554B82B2">
      <w:pPr>
        <w:jc w:val="center"/>
        <w:rPr>
          <w:rFonts w:ascii="宋体" w:hAnsi="宋体" w:cs="宋体"/>
          <w:b/>
          <w:color w:val="auto"/>
          <w:sz w:val="72"/>
          <w:szCs w:val="20"/>
        </w:rPr>
      </w:pPr>
    </w:p>
    <w:p w14:paraId="31FB67B8">
      <w:pPr>
        <w:spacing w:line="680" w:lineRule="exact"/>
        <w:jc w:val="center"/>
        <w:rPr>
          <w:rFonts w:hint="eastAsia" w:ascii="宋体" w:hAnsi="宋体"/>
          <w:b/>
          <w:color w:val="auto"/>
          <w:sz w:val="32"/>
          <w:szCs w:val="32"/>
        </w:rPr>
      </w:pPr>
      <w:r>
        <w:rPr>
          <w:rFonts w:hint="eastAsia" w:ascii="宋体" w:hAnsi="宋体"/>
          <w:b/>
          <w:color w:val="auto"/>
          <w:sz w:val="32"/>
          <w:szCs w:val="32"/>
        </w:rPr>
        <w:t>采购人： 广西交通技师学院</w:t>
      </w:r>
    </w:p>
    <w:p w14:paraId="59D4D43F">
      <w:pPr>
        <w:spacing w:line="520" w:lineRule="exact"/>
        <w:ind w:firstLine="2880" w:firstLineChars="1200"/>
        <w:rPr>
          <w:color w:val="auto"/>
          <w:sz w:val="24"/>
          <w:u w:val="single"/>
        </w:rPr>
      </w:pPr>
    </w:p>
    <w:p w14:paraId="7D6ECB53">
      <w:pPr>
        <w:spacing w:line="520" w:lineRule="exact"/>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5</w:t>
      </w:r>
      <w:r>
        <w:rPr>
          <w:rFonts w:hint="eastAsia" w:ascii="宋体" w:hAnsi="宋体"/>
          <w:b/>
          <w:color w:val="auto"/>
          <w:sz w:val="32"/>
          <w:szCs w:val="32"/>
        </w:rPr>
        <w:t>年</w:t>
      </w:r>
      <w:r>
        <w:rPr>
          <w:rFonts w:hint="eastAsia" w:ascii="宋体" w:hAnsi="宋体"/>
          <w:b/>
          <w:color w:val="auto"/>
          <w:sz w:val="32"/>
          <w:szCs w:val="32"/>
          <w:lang w:val="en-US" w:eastAsia="zh-CN"/>
        </w:rPr>
        <w:t>9</w:t>
      </w:r>
      <w:r>
        <w:rPr>
          <w:rFonts w:hint="eastAsia" w:ascii="宋体" w:hAnsi="宋体"/>
          <w:b/>
          <w:color w:val="auto"/>
          <w:sz w:val="32"/>
          <w:szCs w:val="32"/>
        </w:rPr>
        <w:t>月</w:t>
      </w:r>
      <w:r>
        <w:rPr>
          <w:rFonts w:hint="eastAsia" w:ascii="宋体" w:hAnsi="宋体"/>
          <w:b/>
          <w:color w:val="auto"/>
          <w:sz w:val="32"/>
          <w:szCs w:val="32"/>
          <w:lang w:val="en-US" w:eastAsia="zh-CN"/>
        </w:rPr>
        <w:t>22</w:t>
      </w:r>
      <w:r>
        <w:rPr>
          <w:rFonts w:hint="eastAsia" w:ascii="宋体" w:hAnsi="宋体"/>
          <w:b/>
          <w:color w:val="auto"/>
          <w:sz w:val="32"/>
          <w:szCs w:val="32"/>
        </w:rPr>
        <w:t>日</w:t>
      </w:r>
    </w:p>
    <w:p w14:paraId="6C15AF45">
      <w:pPr>
        <w:spacing w:line="360" w:lineRule="auto"/>
        <w:jc w:val="center"/>
        <w:rPr>
          <w:rFonts w:hint="eastAsia" w:ascii="黑体" w:hAnsi="黑体" w:eastAsia="黑体" w:cs="黑体"/>
          <w:b/>
          <w:color w:val="auto"/>
          <w:sz w:val="44"/>
          <w:szCs w:val="44"/>
        </w:rPr>
      </w:pPr>
      <w:r>
        <w:rPr>
          <w:rFonts w:hint="eastAsia" w:ascii="宋体" w:hAnsi="宋体"/>
          <w:b/>
          <w:color w:val="auto"/>
          <w:sz w:val="32"/>
          <w:szCs w:val="32"/>
        </w:rPr>
        <w:br w:type="page"/>
      </w:r>
      <w:bookmarkStart w:id="1" w:name="_Toc325464812"/>
      <w:r>
        <w:rPr>
          <w:rFonts w:hint="eastAsia" w:ascii="黑体" w:hAnsi="黑体" w:eastAsia="黑体" w:cs="黑体"/>
          <w:b/>
          <w:color w:val="auto"/>
          <w:sz w:val="44"/>
          <w:szCs w:val="44"/>
        </w:rPr>
        <w:t>第一章  询价公告</w:t>
      </w:r>
    </w:p>
    <w:p w14:paraId="2CF9DB4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u w:val="single"/>
        </w:rPr>
        <w:t>广西交通技师学院</w:t>
      </w:r>
      <w:r>
        <w:rPr>
          <w:rFonts w:hint="eastAsia" w:ascii="宋体" w:hAnsi="宋体" w:cs="宋体"/>
          <w:color w:val="auto"/>
          <w:sz w:val="32"/>
          <w:szCs w:val="32"/>
        </w:rPr>
        <w:t>（采购人名称）就</w:t>
      </w:r>
      <w:r>
        <w:rPr>
          <w:rFonts w:hint="eastAsia" w:ascii="宋体" w:hAnsi="宋体" w:cs="宋体"/>
          <w:color w:val="auto"/>
          <w:sz w:val="32"/>
          <w:szCs w:val="32"/>
          <w:u w:val="single"/>
        </w:rPr>
        <w:t xml:space="preserve"> </w:t>
      </w:r>
      <w:bookmarkStart w:id="2" w:name="OLE_LINK2"/>
      <w:r>
        <w:rPr>
          <w:rFonts w:hint="eastAsia" w:ascii="宋体" w:hAnsi="宋体" w:cs="宋体"/>
          <w:color w:val="auto"/>
          <w:sz w:val="32"/>
          <w:szCs w:val="32"/>
          <w:u w:val="single"/>
          <w:lang w:val="en-US" w:eastAsia="zh-CN"/>
        </w:rPr>
        <w:t>后勤服务科办公家具</w:t>
      </w:r>
      <w:bookmarkEnd w:id="2"/>
      <w:r>
        <w:rPr>
          <w:rFonts w:hint="eastAsia" w:ascii="宋体" w:hAnsi="宋体" w:cs="宋体"/>
          <w:color w:val="auto"/>
          <w:sz w:val="32"/>
          <w:szCs w:val="32"/>
          <w:u w:val="single"/>
        </w:rPr>
        <w:t xml:space="preserve"> </w:t>
      </w:r>
      <w:r>
        <w:rPr>
          <w:rFonts w:hint="eastAsia" w:ascii="宋体" w:hAnsi="宋体" w:cs="宋体"/>
          <w:color w:val="auto"/>
          <w:sz w:val="32"/>
          <w:szCs w:val="32"/>
        </w:rPr>
        <w:t>项目组织询价采购。</w:t>
      </w:r>
    </w:p>
    <w:p w14:paraId="05B2914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一、采购项目概况</w:t>
      </w:r>
    </w:p>
    <w:tbl>
      <w:tblPr>
        <w:tblStyle w:val="16"/>
        <w:tblW w:w="10349" w:type="dxa"/>
        <w:jc w:val="center"/>
        <w:tblLayout w:type="fixed"/>
        <w:tblCellMar>
          <w:top w:w="0" w:type="dxa"/>
          <w:left w:w="108" w:type="dxa"/>
          <w:bottom w:w="0" w:type="dxa"/>
          <w:right w:w="108" w:type="dxa"/>
        </w:tblCellMar>
      </w:tblPr>
      <w:tblGrid>
        <w:gridCol w:w="737"/>
        <w:gridCol w:w="1350"/>
        <w:gridCol w:w="2800"/>
        <w:gridCol w:w="750"/>
        <w:gridCol w:w="737"/>
        <w:gridCol w:w="3975"/>
      </w:tblGrid>
      <w:tr w14:paraId="7D40A74B">
        <w:tblPrEx>
          <w:tblCellMar>
            <w:top w:w="0" w:type="dxa"/>
            <w:left w:w="108" w:type="dxa"/>
            <w:bottom w:w="0" w:type="dxa"/>
            <w:right w:w="108" w:type="dxa"/>
          </w:tblCellMar>
        </w:tblPrEx>
        <w:trPr>
          <w:trHeight w:val="584"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07629758">
            <w:pPr>
              <w:keepNext w:val="0"/>
              <w:keepLines w:val="0"/>
              <w:suppressLineNumbers w:val="0"/>
              <w:spacing w:before="0" w:beforeAutospacing="0" w:after="0" w:afterAutospacing="0"/>
              <w:ind w:left="0" w:right="0"/>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序号</w:t>
            </w:r>
          </w:p>
        </w:tc>
        <w:tc>
          <w:tcPr>
            <w:tcW w:w="1350" w:type="dxa"/>
            <w:tcBorders>
              <w:top w:val="single" w:color="auto" w:sz="4" w:space="0"/>
              <w:left w:val="nil"/>
              <w:bottom w:val="single" w:color="auto" w:sz="4" w:space="0"/>
              <w:right w:val="single" w:color="auto" w:sz="4" w:space="0"/>
            </w:tcBorders>
            <w:noWrap w:val="0"/>
            <w:vAlign w:val="center"/>
          </w:tcPr>
          <w:p w14:paraId="6B65C314">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货物名称</w:t>
            </w:r>
          </w:p>
        </w:tc>
        <w:tc>
          <w:tcPr>
            <w:tcW w:w="2800" w:type="dxa"/>
            <w:tcBorders>
              <w:top w:val="single" w:color="auto" w:sz="4" w:space="0"/>
              <w:left w:val="nil"/>
              <w:bottom w:val="single" w:color="auto" w:sz="4" w:space="0"/>
              <w:right w:val="single" w:color="auto" w:sz="4" w:space="0"/>
            </w:tcBorders>
            <w:noWrap/>
            <w:vAlign w:val="center"/>
          </w:tcPr>
          <w:p w14:paraId="5C5D593F">
            <w:pPr>
              <w:keepNext w:val="0"/>
              <w:keepLines w:val="0"/>
              <w:suppressLineNumbers w:val="0"/>
              <w:spacing w:before="0" w:beforeAutospacing="0" w:after="0" w:afterAutospacing="0"/>
              <w:ind w:left="0" w:right="0"/>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技术参数</w:t>
            </w:r>
          </w:p>
        </w:tc>
        <w:tc>
          <w:tcPr>
            <w:tcW w:w="750" w:type="dxa"/>
            <w:tcBorders>
              <w:top w:val="single" w:color="auto" w:sz="4" w:space="0"/>
              <w:left w:val="nil"/>
              <w:bottom w:val="single" w:color="auto" w:sz="4" w:space="0"/>
              <w:right w:val="single" w:color="auto" w:sz="4" w:space="0"/>
            </w:tcBorders>
            <w:noWrap/>
            <w:vAlign w:val="center"/>
          </w:tcPr>
          <w:p w14:paraId="17A437E1">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737" w:type="dxa"/>
            <w:tcBorders>
              <w:top w:val="single" w:color="auto" w:sz="4" w:space="0"/>
              <w:left w:val="nil"/>
              <w:bottom w:val="single" w:color="auto" w:sz="4" w:space="0"/>
              <w:right w:val="single" w:color="auto" w:sz="4" w:space="0"/>
            </w:tcBorders>
            <w:noWrap/>
            <w:vAlign w:val="center"/>
          </w:tcPr>
          <w:p w14:paraId="039FFA10">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3975" w:type="dxa"/>
            <w:tcBorders>
              <w:top w:val="single" w:color="auto" w:sz="4" w:space="0"/>
              <w:left w:val="nil"/>
              <w:bottom w:val="single" w:color="auto" w:sz="4" w:space="0"/>
              <w:right w:val="single" w:color="auto" w:sz="4" w:space="0"/>
            </w:tcBorders>
            <w:noWrap w:val="0"/>
            <w:vAlign w:val="center"/>
          </w:tcPr>
          <w:p w14:paraId="0EF12454">
            <w:pPr>
              <w:keepNext w:val="0"/>
              <w:keepLines w:val="0"/>
              <w:suppressLineNumbers w:val="0"/>
              <w:spacing w:before="0" w:beforeAutospacing="0" w:after="0" w:afterAutospacing="0"/>
              <w:ind w:left="0" w:right="0"/>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样板图</w:t>
            </w:r>
          </w:p>
        </w:tc>
      </w:tr>
      <w:tr w14:paraId="15631053">
        <w:tblPrEx>
          <w:tblCellMar>
            <w:top w:w="0" w:type="dxa"/>
            <w:left w:w="108" w:type="dxa"/>
            <w:bottom w:w="0" w:type="dxa"/>
            <w:right w:w="108" w:type="dxa"/>
          </w:tblCellMar>
        </w:tblPrEx>
        <w:trPr>
          <w:trHeight w:val="1777" w:hRule="atLeast"/>
          <w:jc w:val="center"/>
        </w:trPr>
        <w:tc>
          <w:tcPr>
            <w:tcW w:w="737" w:type="dxa"/>
            <w:tcBorders>
              <w:top w:val="nil"/>
              <w:left w:val="single" w:color="auto" w:sz="4" w:space="0"/>
              <w:bottom w:val="single" w:color="auto" w:sz="4" w:space="0"/>
              <w:right w:val="single" w:color="auto" w:sz="4" w:space="0"/>
            </w:tcBorders>
            <w:noWrap/>
            <w:vAlign w:val="center"/>
          </w:tcPr>
          <w:p w14:paraId="364F5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1</w:t>
            </w:r>
          </w:p>
        </w:tc>
        <w:tc>
          <w:tcPr>
            <w:tcW w:w="1350" w:type="dxa"/>
            <w:tcBorders>
              <w:top w:val="nil"/>
              <w:left w:val="nil"/>
              <w:bottom w:val="single" w:color="auto" w:sz="4" w:space="0"/>
              <w:right w:val="single" w:color="auto" w:sz="4" w:space="0"/>
            </w:tcBorders>
            <w:noWrap/>
            <w:vAlign w:val="center"/>
          </w:tcPr>
          <w:p w14:paraId="20C0FD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i w:val="0"/>
                <w:iCs w:val="0"/>
                <w:color w:val="000000"/>
                <w:kern w:val="0"/>
                <w:sz w:val="22"/>
                <w:szCs w:val="22"/>
                <w:u w:val="none"/>
                <w:lang w:val="en-US" w:eastAsia="zh-CN" w:bidi="ar"/>
              </w:rPr>
              <w:t>单人沙发</w:t>
            </w:r>
          </w:p>
        </w:tc>
        <w:tc>
          <w:tcPr>
            <w:tcW w:w="2800" w:type="dxa"/>
            <w:tcBorders>
              <w:top w:val="nil"/>
              <w:left w:val="nil"/>
              <w:bottom w:val="single" w:color="auto" w:sz="4" w:space="0"/>
              <w:right w:val="single" w:color="auto" w:sz="4" w:space="0"/>
            </w:tcBorders>
            <w:noWrap/>
            <w:vAlign w:val="center"/>
          </w:tcPr>
          <w:p w14:paraId="1F5426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胡桃色，实木，尺寸宽78㎝×深78㎝×高100㎝</w:t>
            </w:r>
          </w:p>
        </w:tc>
        <w:tc>
          <w:tcPr>
            <w:tcW w:w="750" w:type="dxa"/>
            <w:tcBorders>
              <w:top w:val="nil"/>
              <w:left w:val="nil"/>
              <w:bottom w:val="single" w:color="auto" w:sz="4" w:space="0"/>
              <w:right w:val="single" w:color="auto" w:sz="4" w:space="0"/>
            </w:tcBorders>
            <w:noWrap/>
            <w:vAlign w:val="center"/>
          </w:tcPr>
          <w:p w14:paraId="68C4CC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4</w:t>
            </w:r>
          </w:p>
        </w:tc>
        <w:tc>
          <w:tcPr>
            <w:tcW w:w="737" w:type="dxa"/>
            <w:tcBorders>
              <w:top w:val="nil"/>
              <w:left w:val="nil"/>
              <w:bottom w:val="single" w:color="auto" w:sz="4" w:space="0"/>
              <w:right w:val="single" w:color="auto" w:sz="4" w:space="0"/>
            </w:tcBorders>
            <w:noWrap/>
            <w:vAlign w:val="center"/>
          </w:tcPr>
          <w:p w14:paraId="351CC5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张</w:t>
            </w:r>
          </w:p>
        </w:tc>
        <w:tc>
          <w:tcPr>
            <w:tcW w:w="3975" w:type="dxa"/>
            <w:vMerge w:val="restart"/>
            <w:tcBorders>
              <w:top w:val="nil"/>
              <w:left w:val="nil"/>
              <w:right w:val="single" w:color="auto" w:sz="4" w:space="0"/>
            </w:tcBorders>
            <w:noWrap/>
            <w:vAlign w:val="center"/>
          </w:tcPr>
          <w:p w14:paraId="34905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color w:val="auto"/>
                <w:kern w:val="0"/>
                <w:sz w:val="24"/>
              </w:rPr>
            </w:pPr>
            <w:r>
              <w:rPr>
                <w:rFonts w:hint="default"/>
              </w:rPr>
              <w:drawing>
                <wp:inline distT="0" distB="0" distL="114300" distR="114300">
                  <wp:extent cx="2393315" cy="2070735"/>
                  <wp:effectExtent l="0" t="0" r="6985" b="5715"/>
                  <wp:docPr id="10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2"/>
                          <pic:cNvPicPr>
                            <a:picLocks noChangeAspect="1"/>
                          </pic:cNvPicPr>
                        </pic:nvPicPr>
                        <pic:blipFill>
                          <a:blip r:embed="rId8"/>
                          <a:stretch>
                            <a:fillRect/>
                          </a:stretch>
                        </pic:blipFill>
                        <pic:spPr>
                          <a:xfrm>
                            <a:off x="0" y="0"/>
                            <a:ext cx="2393315" cy="2070735"/>
                          </a:xfrm>
                          <a:prstGeom prst="rect">
                            <a:avLst/>
                          </a:prstGeom>
                          <a:noFill/>
                          <a:ln w="9525">
                            <a:noFill/>
                          </a:ln>
                        </pic:spPr>
                      </pic:pic>
                    </a:graphicData>
                  </a:graphic>
                </wp:inline>
              </w:drawing>
            </w:r>
          </w:p>
        </w:tc>
      </w:tr>
      <w:tr w14:paraId="7DFF8350">
        <w:tblPrEx>
          <w:tblCellMar>
            <w:top w:w="0" w:type="dxa"/>
            <w:left w:w="108" w:type="dxa"/>
            <w:bottom w:w="0" w:type="dxa"/>
            <w:right w:w="108" w:type="dxa"/>
          </w:tblCellMar>
        </w:tblPrEx>
        <w:trPr>
          <w:trHeight w:val="1929" w:hRule="atLeast"/>
          <w:jc w:val="center"/>
        </w:trPr>
        <w:tc>
          <w:tcPr>
            <w:tcW w:w="737" w:type="dxa"/>
            <w:tcBorders>
              <w:top w:val="nil"/>
              <w:left w:val="single" w:color="auto" w:sz="4" w:space="0"/>
              <w:bottom w:val="single" w:color="auto" w:sz="4" w:space="0"/>
              <w:right w:val="single" w:color="auto" w:sz="4" w:space="0"/>
            </w:tcBorders>
            <w:noWrap/>
            <w:vAlign w:val="center"/>
          </w:tcPr>
          <w:p w14:paraId="6E1F6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2</w:t>
            </w:r>
          </w:p>
        </w:tc>
        <w:tc>
          <w:tcPr>
            <w:tcW w:w="1350" w:type="dxa"/>
            <w:tcBorders>
              <w:top w:val="nil"/>
              <w:left w:val="nil"/>
              <w:bottom w:val="single" w:color="auto" w:sz="4" w:space="0"/>
              <w:right w:val="single" w:color="auto" w:sz="4" w:space="0"/>
            </w:tcBorders>
            <w:noWrap/>
            <w:vAlign w:val="center"/>
          </w:tcPr>
          <w:p w14:paraId="6A7A65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i w:val="0"/>
                <w:iCs w:val="0"/>
                <w:color w:val="000000"/>
                <w:kern w:val="0"/>
                <w:sz w:val="22"/>
                <w:szCs w:val="22"/>
                <w:u w:val="none"/>
                <w:lang w:val="en-US" w:eastAsia="zh-CN" w:bidi="ar"/>
              </w:rPr>
              <w:t>茶几</w:t>
            </w:r>
          </w:p>
        </w:tc>
        <w:tc>
          <w:tcPr>
            <w:tcW w:w="2800" w:type="dxa"/>
            <w:tcBorders>
              <w:top w:val="nil"/>
              <w:left w:val="nil"/>
              <w:bottom w:val="single" w:color="auto" w:sz="4" w:space="0"/>
              <w:right w:val="single" w:color="auto" w:sz="4" w:space="0"/>
            </w:tcBorders>
            <w:noWrap/>
            <w:vAlign w:val="center"/>
          </w:tcPr>
          <w:p w14:paraId="6763718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胡桃色，实木，长60㎝×宽60㎝×高50㎝</w:t>
            </w:r>
          </w:p>
        </w:tc>
        <w:tc>
          <w:tcPr>
            <w:tcW w:w="750" w:type="dxa"/>
            <w:tcBorders>
              <w:top w:val="nil"/>
              <w:left w:val="nil"/>
              <w:bottom w:val="single" w:color="auto" w:sz="4" w:space="0"/>
              <w:right w:val="single" w:color="auto" w:sz="4" w:space="0"/>
            </w:tcBorders>
            <w:noWrap/>
            <w:vAlign w:val="center"/>
          </w:tcPr>
          <w:p w14:paraId="3E41C2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2</w:t>
            </w:r>
          </w:p>
        </w:tc>
        <w:tc>
          <w:tcPr>
            <w:tcW w:w="737" w:type="dxa"/>
            <w:tcBorders>
              <w:top w:val="nil"/>
              <w:left w:val="nil"/>
              <w:bottom w:val="single" w:color="auto" w:sz="4" w:space="0"/>
              <w:right w:val="single" w:color="auto" w:sz="4" w:space="0"/>
            </w:tcBorders>
            <w:noWrap/>
            <w:vAlign w:val="center"/>
          </w:tcPr>
          <w:p w14:paraId="1D4357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张</w:t>
            </w:r>
          </w:p>
        </w:tc>
        <w:tc>
          <w:tcPr>
            <w:tcW w:w="3975" w:type="dxa"/>
            <w:vMerge w:val="continue"/>
            <w:tcBorders>
              <w:left w:val="nil"/>
              <w:bottom w:val="single" w:color="auto" w:sz="4" w:space="0"/>
              <w:right w:val="single" w:color="auto" w:sz="4" w:space="0"/>
            </w:tcBorders>
            <w:noWrap/>
            <w:vAlign w:val="center"/>
          </w:tcPr>
          <w:p w14:paraId="70AAE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color w:val="auto"/>
                <w:kern w:val="0"/>
                <w:sz w:val="24"/>
              </w:rPr>
            </w:pPr>
          </w:p>
        </w:tc>
      </w:tr>
      <w:tr w14:paraId="05923E3E">
        <w:tblPrEx>
          <w:tblCellMar>
            <w:top w:w="0" w:type="dxa"/>
            <w:left w:w="108" w:type="dxa"/>
            <w:bottom w:w="0" w:type="dxa"/>
            <w:right w:w="108" w:type="dxa"/>
          </w:tblCellMar>
        </w:tblPrEx>
        <w:trPr>
          <w:trHeight w:val="1041" w:hRule="atLeast"/>
          <w:jc w:val="center"/>
        </w:trPr>
        <w:tc>
          <w:tcPr>
            <w:tcW w:w="10349" w:type="dxa"/>
            <w:gridSpan w:val="6"/>
            <w:tcBorders>
              <w:top w:val="single" w:color="auto" w:sz="4" w:space="0"/>
              <w:left w:val="single" w:color="auto" w:sz="4" w:space="0"/>
              <w:bottom w:val="single" w:color="auto" w:sz="4" w:space="0"/>
              <w:right w:val="single" w:color="auto" w:sz="4" w:space="0"/>
            </w:tcBorders>
            <w:noWrap w:val="0"/>
            <w:vAlign w:val="center"/>
          </w:tcPr>
          <w:p w14:paraId="7CFAB541">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14:paraId="60691F45">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14:paraId="15C5F1A4">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14:paraId="6A0938B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二、供应商参加本次采购活动应具备下列条件</w:t>
      </w:r>
    </w:p>
    <w:p w14:paraId="6EBD07A2">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（一）一般要求：</w:t>
      </w:r>
      <w:r>
        <w:rPr>
          <w:rFonts w:hint="eastAsia" w:ascii="宋体" w:hAnsi="宋体" w:cs="宋体"/>
          <w:color w:val="auto"/>
          <w:sz w:val="32"/>
          <w:szCs w:val="32"/>
          <w:u w:val="single"/>
        </w:rPr>
        <w:t xml:space="preserve">具有由工商部门颁发的企业法人营业执照 </w:t>
      </w:r>
    </w:p>
    <w:p w14:paraId="2A09C5A0">
      <w:pPr>
        <w:spacing w:line="360" w:lineRule="auto"/>
        <w:ind w:left="3198" w:leftChars="304" w:hanging="2560" w:hangingChars="800"/>
        <w:rPr>
          <w:rFonts w:hint="eastAsia" w:ascii="宋体" w:hAnsi="宋体" w:cs="宋体"/>
          <w:color w:val="auto"/>
          <w:sz w:val="32"/>
          <w:szCs w:val="32"/>
          <w:u w:val="single"/>
        </w:rPr>
      </w:pPr>
      <w:r>
        <w:rPr>
          <w:rFonts w:hint="eastAsia" w:ascii="宋体" w:hAnsi="宋体" w:cs="宋体"/>
          <w:color w:val="auto"/>
          <w:sz w:val="32"/>
          <w:szCs w:val="32"/>
        </w:rPr>
        <w:t>（二）资质要求：</w:t>
      </w:r>
      <w:r>
        <w:rPr>
          <w:rFonts w:hint="eastAsia" w:ascii="宋体" w:hAnsi="宋体" w:cs="宋体"/>
          <w:color w:val="auto"/>
          <w:sz w:val="32"/>
          <w:szCs w:val="32"/>
          <w:u w:val="single"/>
        </w:rPr>
        <w:t>生产或经营本次采购货物并具备法人资格的供应商。</w:t>
      </w:r>
    </w:p>
    <w:p w14:paraId="4FB0F62F">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（三）其他要求：</w:t>
      </w:r>
      <w:r>
        <w:rPr>
          <w:rFonts w:hint="eastAsia" w:ascii="宋体" w:hAnsi="宋体" w:cs="宋体"/>
          <w:color w:val="auto"/>
          <w:sz w:val="32"/>
          <w:szCs w:val="32"/>
          <w:u w:val="single"/>
        </w:rPr>
        <w:t>广西政府采购云平台电子卖场供应商。</w:t>
      </w:r>
      <w:r>
        <w:rPr>
          <w:rFonts w:hint="eastAsia" w:ascii="宋体" w:hAnsi="宋体" w:cs="宋体"/>
          <w:color w:val="auto"/>
          <w:sz w:val="32"/>
          <w:szCs w:val="32"/>
        </w:rPr>
        <w:t xml:space="preserve">                                      </w:t>
      </w:r>
    </w:p>
    <w:p w14:paraId="28865049">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三、询价文件要求</w:t>
      </w:r>
    </w:p>
    <w:p w14:paraId="75DE796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（一）资格证明文件内容（递交响应文件时提供各一份）： </w:t>
      </w:r>
    </w:p>
    <w:p w14:paraId="727C206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1.法定代表人授权委托书（格式详见第四章，加盖公章）；</w:t>
      </w:r>
    </w:p>
    <w:p w14:paraId="43344F6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2.被授权人身份证（复印件加盖公章，须提交原件备查）；</w:t>
      </w:r>
    </w:p>
    <w:p w14:paraId="1FB37961">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3.营业执照（复印件加盖公章）。</w:t>
      </w:r>
    </w:p>
    <w:p w14:paraId="11F72794">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（二）报价文件内容：</w:t>
      </w:r>
    </w:p>
    <w:p w14:paraId="4ECDA5B9">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1.资格证明文件（加盖公章）；</w:t>
      </w:r>
    </w:p>
    <w:p w14:paraId="6D2823E1">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2.报价表（格式详见第四章，加盖公章）。</w:t>
      </w:r>
    </w:p>
    <w:p w14:paraId="43815FE4">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（三）报价文件装订及密封要求：</w:t>
      </w:r>
    </w:p>
    <w:p w14:paraId="67D11F73">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报价文件用A4纸打印，一式二份，密封后须在封口处加盖公章，并在封面上</w:t>
      </w:r>
      <w:r>
        <w:rPr>
          <w:rFonts w:hint="eastAsia" w:ascii="宋体" w:hAnsi="宋体" w:cs="宋体"/>
          <w:b/>
          <w:bCs/>
          <w:color w:val="auto"/>
          <w:sz w:val="32"/>
          <w:szCs w:val="32"/>
          <w:u w:val="single"/>
        </w:rPr>
        <w:t>注明投标项目</w:t>
      </w:r>
      <w:r>
        <w:rPr>
          <w:rFonts w:hint="eastAsia" w:ascii="宋体" w:hAnsi="宋体" w:cs="宋体"/>
          <w:b/>
          <w:bCs/>
          <w:color w:val="auto"/>
          <w:sz w:val="32"/>
          <w:szCs w:val="32"/>
          <w:u w:val="single"/>
          <w:lang w:val="en-US" w:eastAsia="zh-CN"/>
        </w:rPr>
        <w:t>及标段</w:t>
      </w:r>
      <w:r>
        <w:rPr>
          <w:rFonts w:hint="eastAsia" w:ascii="宋体" w:hAnsi="宋体" w:cs="宋体"/>
          <w:color w:val="auto"/>
          <w:sz w:val="32"/>
          <w:szCs w:val="32"/>
        </w:rPr>
        <w:t>。</w:t>
      </w:r>
    </w:p>
    <w:p w14:paraId="50A3B79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本项目不接受电子投标、快递（闪送）文件，逾期送达、未送达指定地点、或未密封的投标文件，不予受理。</w:t>
      </w:r>
    </w:p>
    <w:p w14:paraId="436C5D27">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四、递交询价响应文件的截止时间及地点</w:t>
      </w:r>
    </w:p>
    <w:p w14:paraId="1D76636A">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（一）询价响应文件递交的时间：</w:t>
      </w:r>
      <w:r>
        <w:rPr>
          <w:rFonts w:hint="eastAsia" w:ascii="宋体" w:hAnsi="宋体" w:cs="宋体"/>
          <w:b/>
          <w:bCs/>
          <w:color w:val="auto"/>
          <w:sz w:val="32"/>
          <w:szCs w:val="32"/>
          <w:u w:val="single"/>
        </w:rPr>
        <w:t>202</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年</w:t>
      </w:r>
      <w:r>
        <w:rPr>
          <w:rFonts w:hint="eastAsia" w:ascii="宋体" w:hAnsi="宋体" w:cs="宋体"/>
          <w:b/>
          <w:bCs/>
          <w:color w:val="auto"/>
          <w:sz w:val="32"/>
          <w:szCs w:val="32"/>
          <w:u w:val="single"/>
          <w:lang w:val="en-US" w:eastAsia="zh-CN"/>
        </w:rPr>
        <w:t>9</w:t>
      </w:r>
      <w:r>
        <w:rPr>
          <w:rFonts w:hint="eastAsia" w:ascii="宋体" w:hAnsi="宋体" w:cs="宋体"/>
          <w:b/>
          <w:bCs/>
          <w:color w:val="auto"/>
          <w:sz w:val="32"/>
          <w:szCs w:val="32"/>
          <w:u w:val="single"/>
        </w:rPr>
        <w:t>月</w:t>
      </w:r>
      <w:r>
        <w:rPr>
          <w:rFonts w:hint="eastAsia" w:ascii="宋体" w:hAnsi="宋体" w:cs="宋体"/>
          <w:b/>
          <w:bCs/>
          <w:color w:val="auto"/>
          <w:sz w:val="32"/>
          <w:szCs w:val="32"/>
          <w:u w:val="single"/>
          <w:lang w:val="en-US" w:eastAsia="zh-CN"/>
        </w:rPr>
        <w:t>25</w:t>
      </w:r>
      <w:r>
        <w:rPr>
          <w:rFonts w:hint="eastAsia" w:ascii="宋体" w:hAnsi="宋体" w:cs="宋体"/>
          <w:b/>
          <w:bCs/>
          <w:color w:val="auto"/>
          <w:sz w:val="32"/>
          <w:szCs w:val="32"/>
          <w:u w:val="single"/>
        </w:rPr>
        <w:t>日10:00</w:t>
      </w:r>
      <w:r>
        <w:rPr>
          <w:rFonts w:hint="eastAsia" w:ascii="宋体" w:hAnsi="宋体" w:cs="宋体"/>
          <w:b/>
          <w:bCs/>
          <w:color w:val="auto"/>
          <w:sz w:val="32"/>
          <w:szCs w:val="32"/>
          <w:u w:val="single"/>
          <w:lang w:val="en-US" w:eastAsia="zh-CN"/>
        </w:rPr>
        <w:t>前</w:t>
      </w:r>
      <w:r>
        <w:rPr>
          <w:rFonts w:hint="eastAsia" w:ascii="宋体" w:hAnsi="宋体" w:cs="宋体"/>
          <w:color w:val="auto"/>
          <w:sz w:val="32"/>
          <w:szCs w:val="32"/>
        </w:rPr>
        <w:t>，递交地点：</w:t>
      </w:r>
      <w:r>
        <w:rPr>
          <w:rFonts w:hint="eastAsia" w:ascii="宋体" w:hAnsi="宋体" w:cs="宋体"/>
          <w:color w:val="auto"/>
          <w:sz w:val="32"/>
          <w:szCs w:val="32"/>
          <w:u w:val="single"/>
        </w:rPr>
        <w:t xml:space="preserve"> 南宁市兴宁区邕武路9号， 广西交通技师学院综合楼1520室</w:t>
      </w:r>
      <w:r>
        <w:rPr>
          <w:rFonts w:hint="eastAsia" w:ascii="宋体" w:hAnsi="宋体" w:cs="宋体"/>
          <w:color w:val="auto"/>
          <w:sz w:val="32"/>
          <w:szCs w:val="32"/>
        </w:rPr>
        <w:t>。</w:t>
      </w:r>
    </w:p>
    <w:p w14:paraId="78C55F22">
      <w:pPr>
        <w:pStyle w:val="5"/>
        <w:spacing w:line="360" w:lineRule="auto"/>
        <w:ind w:firstLine="640" w:firstLineChars="200"/>
        <w:rPr>
          <w:color w:val="auto"/>
        </w:rPr>
      </w:pPr>
      <w:r>
        <w:rPr>
          <w:rFonts w:hint="eastAsia" w:ascii="宋体" w:hAnsi="宋体" w:cs="宋体"/>
          <w:color w:val="auto"/>
          <w:sz w:val="32"/>
          <w:szCs w:val="32"/>
        </w:rPr>
        <w:t>（二）询价响应文件递交的截止时间：</w:t>
      </w: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9</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25</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w:t>
      </w:r>
    </w:p>
    <w:p w14:paraId="6CE778A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五、开标时间及地点</w:t>
      </w:r>
    </w:p>
    <w:p w14:paraId="663A0404">
      <w:pPr>
        <w:spacing w:line="360" w:lineRule="auto"/>
        <w:ind w:firstLine="640" w:firstLineChars="200"/>
        <w:rPr>
          <w:rFonts w:hint="eastAsia" w:ascii="宋体" w:hAnsi="宋体" w:cs="宋体"/>
          <w:color w:val="auto"/>
          <w:sz w:val="32"/>
          <w:szCs w:val="32"/>
        </w:rPr>
      </w:pP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9</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25</w:t>
      </w:r>
      <w:bookmarkStart w:id="18" w:name="_GoBack"/>
      <w:bookmarkEnd w:id="18"/>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，在</w:t>
      </w:r>
      <w:r>
        <w:rPr>
          <w:rFonts w:hint="eastAsia" w:ascii="宋体" w:hAnsi="宋体" w:cs="宋体"/>
          <w:color w:val="auto"/>
          <w:sz w:val="32"/>
          <w:szCs w:val="32"/>
          <w:u w:val="single"/>
        </w:rPr>
        <w:t xml:space="preserve">  广西交通技师学院邕武校区综合楼 </w:t>
      </w:r>
      <w:r>
        <w:rPr>
          <w:rFonts w:hint="eastAsia" w:ascii="宋体" w:hAnsi="宋体" w:cs="宋体"/>
          <w:color w:val="auto"/>
          <w:sz w:val="32"/>
          <w:szCs w:val="32"/>
        </w:rPr>
        <w:t>评标，如有变动，另行通知。</w:t>
      </w:r>
    </w:p>
    <w:p w14:paraId="6AF1C446">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六、评标方式和评标结果</w:t>
      </w:r>
    </w:p>
    <w:p w14:paraId="6B960347">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（一）采购人选取学院评审库中的评审专家和需求部门代表组成评标小组，对响应人的资格和符合性进行审查，按照经评审的最低投标价法确定中标候选单位。</w:t>
      </w:r>
    </w:p>
    <w:p w14:paraId="55335B32">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14:paraId="1CA9AD6A">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1.在报价（单价合理）、资格、</w:t>
      </w:r>
      <w:r>
        <w:rPr>
          <w:rFonts w:hint="eastAsia" w:ascii="宋体" w:hAnsi="宋体" w:cs="宋体"/>
          <w:color w:val="auto"/>
          <w:sz w:val="32"/>
          <w:szCs w:val="32"/>
          <w:lang w:val="en-US" w:eastAsia="zh-CN"/>
        </w:rPr>
        <w:t>服务、</w:t>
      </w:r>
      <w:r>
        <w:rPr>
          <w:rFonts w:hint="eastAsia" w:ascii="宋体" w:hAnsi="宋体" w:cs="宋体"/>
          <w:color w:val="auto"/>
          <w:sz w:val="32"/>
          <w:szCs w:val="32"/>
        </w:rPr>
        <w:t>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14:paraId="096583C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（1）总报价超过采购预算金额的视为无效。</w:t>
      </w:r>
    </w:p>
    <w:p w14:paraId="6BB18BD6">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（2）涉及到《自治区本级行政事业单位日常办公设施配置标准》（桂财资〔2014〕10号）中的设施设备时，单价超价格上限标准的，视为无效。</w:t>
      </w:r>
    </w:p>
    <w:p w14:paraId="58D91CD3">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14:paraId="445FBA5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①报价文件中的大写金额与小写金额不一致的，以大写金额为准；</w:t>
      </w:r>
    </w:p>
    <w:p w14:paraId="7564CDD5">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②总价金额与依据单价计算出的结果不一致的，以单价金额为准修正总价，但单价金额小数点有明显错误的除外。</w:t>
      </w:r>
    </w:p>
    <w:p w14:paraId="41796E23">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（4）评标小组根据询价文件，审查报价文件是否存在下列重大偏差，若存在，其报价文件视为无效。</w:t>
      </w:r>
    </w:p>
    <w:p w14:paraId="5963D73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①报价文件没有报价人授权代表签字和加盖公章；</w:t>
      </w:r>
    </w:p>
    <w:p w14:paraId="51C240AF">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②报价文件载明的项目完成期限超过采购文件规定的期限；</w:t>
      </w:r>
    </w:p>
    <w:p w14:paraId="57A618D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③明显不符合技术规格、技术标准的要求；</w:t>
      </w:r>
    </w:p>
    <w:p w14:paraId="6AEE920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④报价文件载明的货物包装方式、检验标准和方法等不符合采购文件的要求；</w:t>
      </w:r>
    </w:p>
    <w:p w14:paraId="73A24DDD">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⑤报价文件附有采购人不能接受的条件；</w:t>
      </w:r>
    </w:p>
    <w:p w14:paraId="3019B169">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⑥不符合采购文件中规定的其他实质性要求。</w:t>
      </w:r>
    </w:p>
    <w:p w14:paraId="4089D7D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（二）采购人在开标后1个工作日内，按照评标过程中推荐的中标候选单位顺序，确定中标侯选人。</w:t>
      </w:r>
    </w:p>
    <w:p w14:paraId="62CF66EC">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（三）中标公示期为1个工作日，公示期满无异议，双方协商签订合同。</w:t>
      </w:r>
    </w:p>
    <w:p w14:paraId="1D07841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七、公告发布</w:t>
      </w:r>
    </w:p>
    <w:p w14:paraId="3B56584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本项目询价公告和成交公示在</w:t>
      </w:r>
      <w:r>
        <w:rPr>
          <w:rFonts w:hint="eastAsia" w:ascii="宋体" w:hAnsi="宋体" w:cs="宋体"/>
          <w:color w:val="auto"/>
          <w:sz w:val="32"/>
          <w:szCs w:val="32"/>
          <w:u w:val="single"/>
        </w:rPr>
        <w:t xml:space="preserve">  广西交通技师学院官网  </w:t>
      </w:r>
      <w:r>
        <w:rPr>
          <w:rFonts w:hint="eastAsia" w:ascii="宋体" w:hAnsi="宋体" w:cs="宋体"/>
          <w:color w:val="auto"/>
          <w:sz w:val="32"/>
          <w:szCs w:val="32"/>
        </w:rPr>
        <w:t>上发布。</w:t>
      </w:r>
    </w:p>
    <w:p w14:paraId="461C111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八、联系方式</w:t>
      </w:r>
    </w:p>
    <w:p w14:paraId="3888A616">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采购人（全称）： 广西交通技师学院</w:t>
      </w:r>
    </w:p>
    <w:p w14:paraId="31741BD4">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地址：南宁市兴宁区邕武路9号 </w:t>
      </w:r>
    </w:p>
    <w:p w14:paraId="63644137">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联系人：罗老师</w:t>
      </w:r>
    </w:p>
    <w:p w14:paraId="6F9A685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联系电话：0771-3393443</w:t>
      </w:r>
    </w:p>
    <w:p w14:paraId="74BB8EAA">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监督电话：0771-3851601    </w:t>
      </w:r>
    </w:p>
    <w:p w14:paraId="1E40D96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   </w:t>
      </w:r>
    </w:p>
    <w:p w14:paraId="40127E77">
      <w:pPr>
        <w:pStyle w:val="5"/>
        <w:spacing w:line="360" w:lineRule="auto"/>
        <w:rPr>
          <w:rFonts w:hint="eastAsia"/>
          <w:color w:val="auto"/>
        </w:rPr>
      </w:pPr>
    </w:p>
    <w:p w14:paraId="2FFBE469">
      <w:pPr>
        <w:spacing w:line="360" w:lineRule="auto"/>
        <w:ind w:right="960"/>
        <w:jc w:val="center"/>
        <w:rPr>
          <w:rFonts w:hint="eastAsia" w:ascii="宋体" w:hAnsi="宋体" w:cs="宋体"/>
          <w:color w:val="auto"/>
          <w:sz w:val="32"/>
          <w:szCs w:val="32"/>
        </w:rPr>
      </w:pPr>
      <w:r>
        <w:rPr>
          <w:rFonts w:hint="eastAsia" w:ascii="宋体" w:hAnsi="宋体" w:cs="宋体"/>
          <w:color w:val="auto"/>
          <w:sz w:val="32"/>
          <w:szCs w:val="32"/>
        </w:rPr>
        <w:t xml:space="preserve">                                     广西交通技师学院</w:t>
      </w:r>
    </w:p>
    <w:p w14:paraId="1894C32B">
      <w:pPr>
        <w:spacing w:line="360" w:lineRule="auto"/>
        <w:ind w:right="1280"/>
        <w:jc w:val="center"/>
        <w:rPr>
          <w:rFonts w:hint="eastAsia" w:ascii="宋体" w:hAnsi="宋体" w:cs="宋体"/>
          <w:color w:val="auto"/>
          <w:sz w:val="32"/>
          <w:szCs w:val="32"/>
        </w:rPr>
      </w:pPr>
      <w:r>
        <w:rPr>
          <w:rFonts w:hint="eastAsia" w:ascii="宋体" w:hAnsi="宋体" w:cs="宋体"/>
          <w:color w:val="auto"/>
          <w:sz w:val="32"/>
          <w:szCs w:val="32"/>
        </w:rPr>
        <w:t xml:space="preserve">                                       202</w:t>
      </w:r>
      <w:r>
        <w:rPr>
          <w:rFonts w:hint="eastAsia" w:ascii="宋体" w:hAnsi="宋体" w:cs="宋体"/>
          <w:color w:val="auto"/>
          <w:sz w:val="32"/>
          <w:szCs w:val="32"/>
          <w:lang w:val="en-US" w:eastAsia="zh-CN"/>
        </w:rPr>
        <w:t>5</w:t>
      </w:r>
      <w:r>
        <w:rPr>
          <w:rFonts w:hint="eastAsia" w:ascii="宋体" w:hAnsi="宋体" w:cs="宋体"/>
          <w:color w:val="auto"/>
          <w:sz w:val="32"/>
          <w:szCs w:val="32"/>
        </w:rPr>
        <w:t>年</w:t>
      </w:r>
      <w:r>
        <w:rPr>
          <w:rFonts w:hint="eastAsia" w:ascii="宋体" w:hAnsi="宋体" w:cs="宋体"/>
          <w:color w:val="auto"/>
          <w:sz w:val="32"/>
          <w:szCs w:val="32"/>
          <w:lang w:val="en-US" w:eastAsia="zh-CN"/>
        </w:rPr>
        <w:t>9</w:t>
      </w:r>
      <w:r>
        <w:rPr>
          <w:rFonts w:hint="eastAsia" w:ascii="宋体" w:hAnsi="宋体" w:cs="宋体"/>
          <w:color w:val="auto"/>
          <w:sz w:val="32"/>
          <w:szCs w:val="32"/>
        </w:rPr>
        <w:t>月</w:t>
      </w:r>
      <w:r>
        <w:rPr>
          <w:rFonts w:hint="eastAsia" w:ascii="宋体" w:hAnsi="宋体" w:cs="宋体"/>
          <w:color w:val="auto"/>
          <w:sz w:val="32"/>
          <w:szCs w:val="32"/>
          <w:lang w:val="en-US" w:eastAsia="zh-CN"/>
        </w:rPr>
        <w:t>10</w:t>
      </w:r>
      <w:r>
        <w:rPr>
          <w:rFonts w:hint="eastAsia" w:ascii="宋体" w:hAnsi="宋体" w:cs="宋体"/>
          <w:color w:val="auto"/>
          <w:sz w:val="32"/>
          <w:szCs w:val="32"/>
        </w:rPr>
        <w:t>日</w:t>
      </w:r>
    </w:p>
    <w:p w14:paraId="7110C614">
      <w:pPr>
        <w:spacing w:line="360" w:lineRule="auto"/>
        <w:ind w:right="1280"/>
        <w:jc w:val="center"/>
        <w:rPr>
          <w:rFonts w:hint="eastAsia" w:ascii="黑体" w:hAnsi="黑体" w:eastAsia="黑体" w:cs="黑体"/>
          <w:b/>
          <w:color w:val="auto"/>
          <w:sz w:val="44"/>
          <w:szCs w:val="44"/>
        </w:rPr>
      </w:pPr>
      <w:r>
        <w:rPr>
          <w:rFonts w:hint="eastAsia" w:ascii="宋体" w:hAnsi="宋体" w:cs="宋体"/>
          <w:color w:val="auto"/>
          <w:sz w:val="32"/>
          <w:szCs w:val="32"/>
        </w:rPr>
        <w:br w:type="page"/>
      </w:r>
      <w:bookmarkEnd w:id="1"/>
      <w:bookmarkStart w:id="3" w:name="_Toc325464813"/>
      <w:r>
        <w:rPr>
          <w:rFonts w:hint="eastAsia" w:ascii="黑体" w:hAnsi="黑体" w:eastAsia="黑体" w:cs="黑体"/>
          <w:b/>
          <w:color w:val="auto"/>
          <w:sz w:val="44"/>
          <w:szCs w:val="44"/>
        </w:rPr>
        <w:t>第二章  询价须知</w:t>
      </w:r>
      <w:bookmarkEnd w:id="3"/>
      <w:bookmarkStart w:id="4" w:name="_Toc184274915"/>
      <w:bookmarkStart w:id="5" w:name="_Toc184283909"/>
    </w:p>
    <w:bookmarkEnd w:id="4"/>
    <w:bookmarkEnd w:id="5"/>
    <w:tbl>
      <w:tblPr>
        <w:tblStyle w:val="16"/>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14:paraId="65AD49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5" w:hRule="atLeast"/>
          <w:tblHeader/>
          <w:jc w:val="center"/>
        </w:trPr>
        <w:tc>
          <w:tcPr>
            <w:tcW w:w="1023" w:type="dxa"/>
            <w:noWrap w:val="0"/>
            <w:vAlign w:val="center"/>
          </w:tcPr>
          <w:p w14:paraId="5A1C5F9C">
            <w:pPr>
              <w:keepNext w:val="0"/>
              <w:keepLines w:val="0"/>
              <w:suppressLineNumbers w:val="0"/>
              <w:spacing w:before="0" w:beforeAutospacing="0" w:after="0" w:afterAutospacing="0"/>
              <w:ind w:left="0" w:right="0"/>
              <w:jc w:val="center"/>
              <w:rPr>
                <w:rFonts w:hint="default" w:ascii="宋体" w:hAnsi="宋体" w:cs="宋体"/>
                <w:b/>
                <w:color w:val="auto"/>
                <w:sz w:val="24"/>
              </w:rPr>
            </w:pPr>
            <w:bookmarkStart w:id="6" w:name="_Toc77400778"/>
            <w:bookmarkStart w:id="7" w:name="_Toc89075873"/>
            <w:bookmarkStart w:id="8" w:name="_Toc183582204"/>
            <w:bookmarkStart w:id="9" w:name="_Toc183682341"/>
            <w:bookmarkStart w:id="10" w:name="_Toc217446033"/>
            <w:r>
              <w:rPr>
                <w:rFonts w:hint="eastAsia" w:ascii="宋体" w:hAnsi="宋体" w:cs="宋体"/>
                <w:b/>
                <w:color w:val="auto"/>
                <w:sz w:val="24"/>
              </w:rPr>
              <w:t>序号</w:t>
            </w:r>
          </w:p>
        </w:tc>
        <w:tc>
          <w:tcPr>
            <w:tcW w:w="2375" w:type="dxa"/>
            <w:noWrap w:val="0"/>
            <w:vAlign w:val="center"/>
          </w:tcPr>
          <w:p w14:paraId="1F2DA365">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条款名称</w:t>
            </w:r>
          </w:p>
        </w:tc>
        <w:tc>
          <w:tcPr>
            <w:tcW w:w="6221" w:type="dxa"/>
            <w:noWrap w:val="0"/>
            <w:vAlign w:val="center"/>
          </w:tcPr>
          <w:p w14:paraId="05985011">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说明和要求</w:t>
            </w:r>
          </w:p>
        </w:tc>
      </w:tr>
      <w:tr w14:paraId="2CD0D4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6BC804DA">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2375" w:type="dxa"/>
            <w:noWrap w:val="0"/>
            <w:vAlign w:val="center"/>
          </w:tcPr>
          <w:p w14:paraId="58C50FB9">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采购人</w:t>
            </w:r>
          </w:p>
        </w:tc>
        <w:tc>
          <w:tcPr>
            <w:tcW w:w="6221" w:type="dxa"/>
            <w:noWrap w:val="0"/>
            <w:vAlign w:val="center"/>
          </w:tcPr>
          <w:p w14:paraId="7FC30F42">
            <w:pPr>
              <w:keepNext w:val="0"/>
              <w:keepLines w:val="0"/>
              <w:suppressLineNumbers w:val="0"/>
              <w:spacing w:before="0" w:beforeAutospacing="0" w:after="0" w:afterAutospacing="0" w:line="360" w:lineRule="auto"/>
              <w:ind w:left="0" w:right="0"/>
              <w:jc w:val="left"/>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 xml:space="preserve">  广西交通技师学院</w:t>
            </w:r>
          </w:p>
          <w:p w14:paraId="30AEF48C">
            <w:pPr>
              <w:keepNext w:val="0"/>
              <w:keepLines w:val="0"/>
              <w:suppressLineNumbers w:val="0"/>
              <w:spacing w:before="0" w:beforeAutospacing="0" w:after="0" w:afterAutospacing="0" w:line="360" w:lineRule="auto"/>
              <w:ind w:left="0" w:right="0"/>
              <w:jc w:val="left"/>
              <w:rPr>
                <w:rFonts w:hint="default"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南宁市兴宁区邕武路9号</w:t>
            </w:r>
          </w:p>
        </w:tc>
      </w:tr>
      <w:tr w14:paraId="0E0E41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A00AEDC">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2375" w:type="dxa"/>
            <w:noWrap w:val="0"/>
            <w:vAlign w:val="center"/>
          </w:tcPr>
          <w:p w14:paraId="35DE787A">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采购项目名称</w:t>
            </w:r>
          </w:p>
        </w:tc>
        <w:tc>
          <w:tcPr>
            <w:tcW w:w="6221" w:type="dxa"/>
            <w:noWrap w:val="0"/>
            <w:vAlign w:val="center"/>
          </w:tcPr>
          <w:p w14:paraId="01CBAB80">
            <w:pPr>
              <w:pStyle w:val="5"/>
              <w:keepNext w:val="0"/>
              <w:keepLines w:val="0"/>
              <w:suppressLineNumbers w:val="0"/>
              <w:spacing w:before="0" w:beforeAutospacing="0" w:afterAutospacing="0"/>
              <w:ind w:left="0" w:right="0"/>
              <w:jc w:val="center"/>
              <w:rPr>
                <w:rFonts w:hint="default" w:ascii="Times New Roman" w:hAnsi="Times New Roman"/>
                <w:color w:val="auto"/>
              </w:rPr>
            </w:pPr>
            <w:r>
              <w:rPr>
                <w:rFonts w:hint="eastAsia" w:ascii="宋体" w:hAnsi="宋体" w:cs="宋体"/>
                <w:color w:val="auto"/>
                <w:sz w:val="24"/>
              </w:rPr>
              <w:t>后勤服务科办公家具</w:t>
            </w:r>
          </w:p>
        </w:tc>
      </w:tr>
      <w:tr w14:paraId="1784F4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0450B00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2375" w:type="dxa"/>
            <w:noWrap w:val="0"/>
            <w:vAlign w:val="center"/>
          </w:tcPr>
          <w:p w14:paraId="66EEE3AC">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预算金额</w:t>
            </w:r>
          </w:p>
        </w:tc>
        <w:tc>
          <w:tcPr>
            <w:tcW w:w="6221" w:type="dxa"/>
            <w:noWrap w:val="0"/>
            <w:vAlign w:val="center"/>
          </w:tcPr>
          <w:p w14:paraId="201CA952">
            <w:pPr>
              <w:pStyle w:val="6"/>
              <w:keepNext w:val="0"/>
              <w:keepLines w:val="0"/>
              <w:suppressLineNumbers w:val="0"/>
              <w:spacing w:before="0" w:beforeAutospacing="0" w:after="0" w:afterAutospacing="0"/>
              <w:ind w:left="0" w:leftChars="0" w:right="0" w:firstLine="0" w:firstLineChars="0"/>
              <w:jc w:val="center"/>
              <w:rPr>
                <w:rFonts w:hint="default" w:ascii="宋体" w:hAnsi="宋体" w:cs="宋体"/>
                <w:color w:val="auto"/>
                <w:sz w:val="24"/>
                <w:lang w:val="en-US" w:eastAsia="zh-CN"/>
              </w:rPr>
            </w:pPr>
            <w:r>
              <w:rPr>
                <w:rFonts w:hint="eastAsia" w:ascii="宋体" w:hAnsi="宋体" w:eastAsia="宋体" w:cs="宋体"/>
                <w:color w:val="auto"/>
                <w:kern w:val="2"/>
                <w:sz w:val="24"/>
                <w:szCs w:val="24"/>
                <w:lang w:val="en-US" w:eastAsia="zh-CN" w:bidi="ar-SA"/>
              </w:rPr>
              <w:t>3100元</w:t>
            </w:r>
          </w:p>
        </w:tc>
      </w:tr>
      <w:tr w14:paraId="30A6F1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195FF19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c>
          <w:tcPr>
            <w:tcW w:w="2375" w:type="dxa"/>
            <w:noWrap w:val="0"/>
            <w:vAlign w:val="center"/>
          </w:tcPr>
          <w:p w14:paraId="678F4F91">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资金来源</w:t>
            </w:r>
          </w:p>
        </w:tc>
        <w:tc>
          <w:tcPr>
            <w:tcW w:w="6221" w:type="dxa"/>
            <w:noWrap w:val="0"/>
            <w:vAlign w:val="center"/>
          </w:tcPr>
          <w:p w14:paraId="42261E8A">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部门年度预算</w:t>
            </w:r>
          </w:p>
        </w:tc>
      </w:tr>
      <w:tr w14:paraId="33D196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1857D46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5</w:t>
            </w:r>
          </w:p>
        </w:tc>
        <w:tc>
          <w:tcPr>
            <w:tcW w:w="2375" w:type="dxa"/>
            <w:noWrap w:val="0"/>
            <w:vAlign w:val="center"/>
          </w:tcPr>
          <w:p w14:paraId="5CA91FFD">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采购方式</w:t>
            </w:r>
          </w:p>
        </w:tc>
        <w:tc>
          <w:tcPr>
            <w:tcW w:w="6221" w:type="dxa"/>
            <w:noWrap w:val="0"/>
            <w:vAlign w:val="center"/>
          </w:tcPr>
          <w:p w14:paraId="77C8746B">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询价，政采云</w:t>
            </w:r>
            <w:r>
              <w:rPr>
                <w:rFonts w:hint="eastAsia" w:ascii="宋体" w:hAnsi="宋体" w:cs="宋体"/>
                <w:color w:val="auto"/>
                <w:sz w:val="24"/>
                <w:lang w:eastAsia="zh-CN"/>
              </w:rPr>
              <w:t>“</w:t>
            </w:r>
            <w:r>
              <w:rPr>
                <w:rFonts w:hint="eastAsia" w:ascii="宋体" w:hAnsi="宋体" w:cs="宋体"/>
                <w:color w:val="auto"/>
                <w:sz w:val="24"/>
              </w:rPr>
              <w:t>电子卖场</w:t>
            </w:r>
            <w:r>
              <w:rPr>
                <w:rFonts w:hint="eastAsia" w:ascii="宋体" w:hAnsi="宋体" w:cs="宋体"/>
                <w:color w:val="auto"/>
                <w:sz w:val="24"/>
                <w:lang w:val="en-US" w:eastAsia="zh-CN"/>
              </w:rPr>
              <w:t>-网上商城</w:t>
            </w:r>
            <w:r>
              <w:rPr>
                <w:rFonts w:hint="eastAsia" w:ascii="宋体" w:hAnsi="宋体" w:cs="宋体"/>
                <w:color w:val="auto"/>
                <w:sz w:val="24"/>
                <w:lang w:eastAsia="zh-CN"/>
              </w:rPr>
              <w:t>”</w:t>
            </w:r>
          </w:p>
        </w:tc>
      </w:tr>
      <w:tr w14:paraId="775C73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69B28C1">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6</w:t>
            </w:r>
          </w:p>
        </w:tc>
        <w:tc>
          <w:tcPr>
            <w:tcW w:w="2375" w:type="dxa"/>
            <w:noWrap w:val="0"/>
            <w:vAlign w:val="center"/>
          </w:tcPr>
          <w:p w14:paraId="37E4814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服务期限/供货周期</w:t>
            </w:r>
          </w:p>
        </w:tc>
        <w:tc>
          <w:tcPr>
            <w:tcW w:w="6221" w:type="dxa"/>
            <w:noWrap w:val="0"/>
            <w:vAlign w:val="center"/>
          </w:tcPr>
          <w:p w14:paraId="367DEDFB">
            <w:pPr>
              <w:keepNext w:val="0"/>
              <w:keepLines w:val="0"/>
              <w:suppressLineNumbers w:val="0"/>
              <w:spacing w:before="0" w:beforeAutospacing="0" w:after="0" w:afterAutospacing="0"/>
              <w:ind w:left="0" w:right="0" w:firstLine="240" w:firstLineChars="100"/>
              <w:jc w:val="left"/>
              <w:rPr>
                <w:rFonts w:hint="default" w:ascii="宋体" w:hAnsi="宋体" w:cs="宋体"/>
                <w:color w:val="auto"/>
                <w:sz w:val="24"/>
              </w:rPr>
            </w:pPr>
            <w:r>
              <w:rPr>
                <w:rFonts w:hint="eastAsia" w:ascii="宋体" w:hAnsi="宋体" w:cs="宋体"/>
                <w:color w:val="auto"/>
                <w:sz w:val="24"/>
              </w:rPr>
              <w:t xml:space="preserve">自合同签订之日起 15 工作日供货，售后期限 12月      </w:t>
            </w:r>
          </w:p>
        </w:tc>
      </w:tr>
      <w:tr w14:paraId="7C6129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371D82E8">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7</w:t>
            </w:r>
          </w:p>
        </w:tc>
        <w:tc>
          <w:tcPr>
            <w:tcW w:w="2375" w:type="dxa"/>
            <w:noWrap w:val="0"/>
            <w:vAlign w:val="center"/>
          </w:tcPr>
          <w:p w14:paraId="6DF14BD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质量要求</w:t>
            </w:r>
          </w:p>
        </w:tc>
        <w:tc>
          <w:tcPr>
            <w:tcW w:w="6221" w:type="dxa"/>
            <w:noWrap w:val="0"/>
            <w:vAlign w:val="center"/>
          </w:tcPr>
          <w:p w14:paraId="69446BAE">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合格</w:t>
            </w:r>
          </w:p>
        </w:tc>
      </w:tr>
      <w:tr w14:paraId="5141E2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10B2EB9E">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8</w:t>
            </w:r>
          </w:p>
        </w:tc>
        <w:tc>
          <w:tcPr>
            <w:tcW w:w="2375" w:type="dxa"/>
            <w:noWrap w:val="0"/>
            <w:vAlign w:val="center"/>
          </w:tcPr>
          <w:p w14:paraId="706D49DD">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联合体</w:t>
            </w:r>
          </w:p>
        </w:tc>
        <w:tc>
          <w:tcPr>
            <w:tcW w:w="6221" w:type="dxa"/>
            <w:noWrap w:val="0"/>
            <w:vAlign w:val="center"/>
          </w:tcPr>
          <w:p w14:paraId="11911763">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 接受； ☑不接受</w:t>
            </w:r>
          </w:p>
        </w:tc>
      </w:tr>
      <w:tr w14:paraId="026E0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513ADE4">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9</w:t>
            </w:r>
          </w:p>
        </w:tc>
        <w:tc>
          <w:tcPr>
            <w:tcW w:w="2375" w:type="dxa"/>
            <w:noWrap w:val="0"/>
            <w:vAlign w:val="center"/>
          </w:tcPr>
          <w:p w14:paraId="197061FF">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响应人对询价文件提出质疑的时间</w:t>
            </w:r>
          </w:p>
        </w:tc>
        <w:tc>
          <w:tcPr>
            <w:tcW w:w="6221" w:type="dxa"/>
            <w:noWrap w:val="0"/>
            <w:vAlign w:val="center"/>
          </w:tcPr>
          <w:p w14:paraId="368338D2">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自询价文件公布时间起的三个工作日内</w:t>
            </w:r>
          </w:p>
        </w:tc>
      </w:tr>
      <w:tr w14:paraId="740426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2EF857D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10</w:t>
            </w:r>
          </w:p>
        </w:tc>
        <w:tc>
          <w:tcPr>
            <w:tcW w:w="2375" w:type="dxa"/>
            <w:noWrap w:val="0"/>
            <w:vAlign w:val="center"/>
          </w:tcPr>
          <w:p w14:paraId="5B75E484">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分包</w:t>
            </w:r>
          </w:p>
        </w:tc>
        <w:tc>
          <w:tcPr>
            <w:tcW w:w="6221" w:type="dxa"/>
            <w:noWrap w:val="0"/>
            <w:vAlign w:val="center"/>
          </w:tcPr>
          <w:p w14:paraId="456A26B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☑不允许； □允许</w:t>
            </w:r>
          </w:p>
        </w:tc>
      </w:tr>
      <w:tr w14:paraId="2FEF1D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4B2803A9">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11</w:t>
            </w:r>
          </w:p>
        </w:tc>
        <w:tc>
          <w:tcPr>
            <w:tcW w:w="2375" w:type="dxa"/>
            <w:noWrap w:val="0"/>
            <w:vAlign w:val="center"/>
          </w:tcPr>
          <w:p w14:paraId="4378150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构成询价文件的其他文件</w:t>
            </w:r>
          </w:p>
        </w:tc>
        <w:tc>
          <w:tcPr>
            <w:tcW w:w="6221" w:type="dxa"/>
            <w:noWrap w:val="0"/>
            <w:vAlign w:val="center"/>
          </w:tcPr>
          <w:p w14:paraId="2660469A">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询价文件的澄清、修改书及有关补充通知为询价文件的有效组成部分</w:t>
            </w:r>
          </w:p>
        </w:tc>
      </w:tr>
      <w:tr w14:paraId="21556A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789C7A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12</w:t>
            </w:r>
          </w:p>
        </w:tc>
        <w:tc>
          <w:tcPr>
            <w:tcW w:w="2375" w:type="dxa"/>
            <w:noWrap w:val="0"/>
            <w:vAlign w:val="center"/>
          </w:tcPr>
          <w:p w14:paraId="110AB63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询价响应文件份数</w:t>
            </w:r>
          </w:p>
        </w:tc>
        <w:tc>
          <w:tcPr>
            <w:tcW w:w="6221" w:type="dxa"/>
            <w:noWrap w:val="0"/>
            <w:vAlign w:val="center"/>
          </w:tcPr>
          <w:p w14:paraId="1C52F05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u w:val="single"/>
              </w:rPr>
              <w:t xml:space="preserve">2 </w:t>
            </w:r>
            <w:r>
              <w:rPr>
                <w:rFonts w:hint="eastAsia" w:ascii="宋体" w:hAnsi="宋体" w:cs="宋体"/>
                <w:color w:val="auto"/>
                <w:sz w:val="24"/>
              </w:rPr>
              <w:t>份</w:t>
            </w:r>
          </w:p>
        </w:tc>
      </w:tr>
    </w:tbl>
    <w:p w14:paraId="28C51F12">
      <w:pPr>
        <w:jc w:val="center"/>
        <w:rPr>
          <w:rFonts w:ascii="宋体" w:hAnsi="宋体" w:cs="宋体"/>
          <w:b/>
          <w:color w:val="auto"/>
          <w:szCs w:val="20"/>
        </w:rPr>
      </w:pPr>
    </w:p>
    <w:bookmarkEnd w:id="6"/>
    <w:bookmarkEnd w:id="7"/>
    <w:bookmarkEnd w:id="8"/>
    <w:bookmarkEnd w:id="9"/>
    <w:bookmarkEnd w:id="10"/>
    <w:p w14:paraId="015A5A64">
      <w:pPr>
        <w:ind w:firstLine="480" w:firstLineChars="200"/>
        <w:jc w:val="left"/>
        <w:rPr>
          <w:rFonts w:ascii="宋体" w:hAnsi="宋体"/>
          <w:color w:val="auto"/>
          <w:sz w:val="24"/>
        </w:rPr>
        <w:sectPr>
          <w:footerReference r:id="rId3" w:type="default"/>
          <w:footerReference r:id="rId4" w:type="even"/>
          <w:pgSz w:w="11906" w:h="16838"/>
          <w:pgMar w:top="1100" w:right="896" w:bottom="1134" w:left="896" w:header="851" w:footer="594" w:gutter="0"/>
          <w:cols w:space="720" w:num="1"/>
          <w:docGrid w:linePitch="312" w:charSpace="0"/>
        </w:sectPr>
      </w:pPr>
    </w:p>
    <w:p w14:paraId="234C454A">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第三章  合同条款及格式</w:t>
      </w:r>
    </w:p>
    <w:p w14:paraId="41E259AD">
      <w:pPr>
        <w:pStyle w:val="5"/>
        <w:spacing w:before="146"/>
        <w:jc w:val="center"/>
        <w:outlineLvl w:val="0"/>
        <w:rPr>
          <w:b/>
          <w:bCs/>
          <w:color w:val="auto"/>
          <w:spacing w:val="1"/>
          <w:sz w:val="34"/>
          <w:szCs w:val="34"/>
        </w:rPr>
      </w:pPr>
      <w:r>
        <w:rPr>
          <w:b/>
          <w:bCs/>
          <w:color w:val="auto"/>
          <w:spacing w:val="1"/>
          <w:sz w:val="34"/>
          <w:szCs w:val="34"/>
        </w:rPr>
        <w:t>广西壮族自治区政府采购网上超市合同</w:t>
      </w:r>
    </w:p>
    <w:p w14:paraId="045BE6E0">
      <w:pPr>
        <w:pStyle w:val="27"/>
        <w:jc w:val="center"/>
        <w:rPr>
          <w:rFonts w:hint="eastAsia"/>
          <w:bCs/>
          <w:color w:val="auto"/>
          <w:spacing w:val="20"/>
          <w:kern w:val="44"/>
          <w:sz w:val="28"/>
          <w:szCs w:val="28"/>
        </w:rPr>
      </w:pPr>
      <w:r>
        <w:rPr>
          <w:rFonts w:hint="eastAsia"/>
          <w:bCs/>
          <w:color w:val="auto"/>
          <w:spacing w:val="20"/>
          <w:kern w:val="44"/>
          <w:sz w:val="28"/>
          <w:szCs w:val="28"/>
        </w:rPr>
        <w:t>(政采云系统自动生成合同模板，</w:t>
      </w:r>
      <w:r>
        <w:rPr>
          <w:rFonts w:hint="eastAsia"/>
          <w:bCs/>
          <w:color w:val="auto"/>
          <w:spacing w:val="20"/>
          <w:kern w:val="44"/>
          <w:sz w:val="28"/>
          <w:szCs w:val="28"/>
          <w:lang w:val="en-US" w:eastAsia="zh-CN"/>
        </w:rPr>
        <w:t>仅供参考</w:t>
      </w:r>
      <w:r>
        <w:rPr>
          <w:rFonts w:hint="eastAsia"/>
          <w:bCs/>
          <w:color w:val="auto"/>
          <w:spacing w:val="20"/>
          <w:kern w:val="44"/>
          <w:sz w:val="28"/>
          <w:szCs w:val="28"/>
        </w:rPr>
        <w:t>)</w:t>
      </w:r>
    </w:p>
    <w:p w14:paraId="4FFA547F">
      <w:pPr>
        <w:pStyle w:val="5"/>
        <w:spacing w:before="146" w:line="184" w:lineRule="auto"/>
        <w:jc w:val="center"/>
        <w:outlineLvl w:val="0"/>
        <w:rPr>
          <w:b/>
          <w:bCs/>
          <w:color w:val="auto"/>
          <w:spacing w:val="1"/>
          <w:sz w:val="34"/>
          <w:szCs w:val="34"/>
        </w:rPr>
      </w:pPr>
    </w:p>
    <w:p w14:paraId="3696D5AF">
      <w:pPr>
        <w:pStyle w:val="5"/>
        <w:spacing w:before="252"/>
        <w:jc w:val="center"/>
        <w:rPr>
          <w:rFonts w:ascii="宋体" w:hAnsi="宋体" w:cs="宋体"/>
          <w:color w:val="auto"/>
          <w:sz w:val="24"/>
          <w:u w:val="single"/>
        </w:rPr>
      </w:pPr>
      <w:r>
        <w:rPr>
          <w:rFonts w:hint="eastAsia" w:ascii="宋体" w:hAnsi="宋体" w:cs="宋体"/>
          <w:b/>
          <w:bCs/>
          <w:color w:val="auto"/>
          <w:spacing w:val="-9"/>
          <w:sz w:val="24"/>
        </w:rPr>
        <w:t xml:space="preserve">                                             合同编号：</w:t>
      </w:r>
      <w:r>
        <w:rPr>
          <w:rFonts w:hint="eastAsia" w:ascii="宋体" w:hAnsi="宋体" w:cs="宋体"/>
          <w:b/>
          <w:bCs/>
          <w:color w:val="auto"/>
          <w:spacing w:val="-9"/>
          <w:sz w:val="24"/>
          <w:u w:val="single"/>
        </w:rPr>
        <w:t xml:space="preserve">               </w:t>
      </w:r>
    </w:p>
    <w:p w14:paraId="4749EE80">
      <w:pPr>
        <w:pStyle w:val="5"/>
        <w:spacing w:before="30"/>
        <w:ind w:left="400"/>
        <w:rPr>
          <w:rFonts w:hint="eastAsia" w:ascii="宋体" w:hAnsi="宋体" w:cs="宋体"/>
          <w:color w:val="auto"/>
          <w:sz w:val="24"/>
        </w:rPr>
      </w:pPr>
      <w:r>
        <w:rPr>
          <w:rFonts w:hint="eastAsia" w:ascii="宋体" w:hAnsi="宋体" w:cs="宋体"/>
          <w:b/>
          <w:bCs/>
          <w:color w:val="auto"/>
          <w:spacing w:val="-2"/>
          <w:sz w:val="24"/>
        </w:rPr>
        <w:t>采购单位（甲方）：</w:t>
      </w:r>
      <w:r>
        <w:rPr>
          <w:rFonts w:hint="eastAsia" w:ascii="宋体" w:hAnsi="宋体" w:cs="宋体"/>
          <w:b/>
          <w:bCs/>
          <w:color w:val="auto"/>
          <w:spacing w:val="4"/>
          <w:sz w:val="24"/>
        </w:rPr>
        <w:t xml:space="preserve">    </w:t>
      </w:r>
      <w:r>
        <w:rPr>
          <w:rFonts w:hint="eastAsia" w:ascii="宋体" w:hAnsi="宋体" w:cs="宋体"/>
          <w:b/>
          <w:bCs/>
          <w:color w:val="auto"/>
          <w:spacing w:val="-2"/>
          <w:sz w:val="24"/>
        </w:rPr>
        <w:t>广西交通技师学院</w:t>
      </w:r>
    </w:p>
    <w:p w14:paraId="2B7F328C">
      <w:pPr>
        <w:pStyle w:val="5"/>
        <w:spacing w:before="29"/>
        <w:ind w:left="401"/>
        <w:rPr>
          <w:rFonts w:hint="eastAsia" w:ascii="宋体" w:hAnsi="宋体" w:cs="宋体"/>
          <w:color w:val="auto"/>
          <w:sz w:val="24"/>
          <w:u w:val="single"/>
        </w:rPr>
      </w:pPr>
      <w:r>
        <w:rPr>
          <w:rFonts w:hint="eastAsia" w:ascii="宋体" w:hAnsi="宋体" w:cs="宋体"/>
          <w:b/>
          <w:bCs/>
          <w:color w:val="auto"/>
          <w:sz w:val="24"/>
        </w:rPr>
        <w:t>供货商（乙方</w:t>
      </w:r>
      <w:r>
        <w:rPr>
          <w:rFonts w:hint="eastAsia" w:ascii="宋体" w:hAnsi="宋体" w:cs="宋体"/>
          <w:b/>
          <w:bCs/>
          <w:color w:val="auto"/>
          <w:spacing w:val="-3"/>
          <w:sz w:val="24"/>
        </w:rPr>
        <w:t>）：</w:t>
      </w:r>
      <w:r>
        <w:rPr>
          <w:rFonts w:hint="eastAsia" w:ascii="宋体" w:hAnsi="宋体" w:cs="宋体"/>
          <w:b/>
          <w:bCs/>
          <w:color w:val="auto"/>
          <w:spacing w:val="6"/>
          <w:sz w:val="24"/>
          <w:u w:val="single"/>
        </w:rPr>
        <w:t xml:space="preserve">   </w:t>
      </w:r>
    </w:p>
    <w:p w14:paraId="2442FAF8">
      <w:pPr>
        <w:pStyle w:val="5"/>
        <w:spacing w:before="261"/>
        <w:ind w:right="249" w:firstLine="496" w:firstLineChars="200"/>
        <w:rPr>
          <w:rFonts w:hint="eastAsia" w:ascii="宋体" w:hAnsi="宋体" w:cs="宋体"/>
          <w:color w:val="auto"/>
          <w:sz w:val="24"/>
        </w:rPr>
      </w:pPr>
      <w:r>
        <w:rPr>
          <w:rFonts w:hint="eastAsia" w:ascii="宋体" w:hAnsi="宋体" w:cs="宋体"/>
          <w:color w:val="auto"/>
          <w:spacing w:val="4"/>
          <w:sz w:val="24"/>
        </w:rPr>
        <w:t>为了保护甲乙双方合法权益，根据《中华人民共和国政府采购法》、《中华人民共和国民法典》相关法律法规以及广西壮族自治区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4"/>
          <w:sz w:val="24"/>
        </w:rPr>
        <w:t xml:space="preserve">  网上超市项目招标文</w:t>
      </w:r>
      <w:r>
        <w:rPr>
          <w:rFonts w:hint="eastAsia" w:ascii="宋体" w:hAnsi="宋体" w:cs="宋体"/>
          <w:color w:val="auto"/>
          <w:spacing w:val="3"/>
          <w:sz w:val="24"/>
        </w:rPr>
        <w:t>件、中标供</w:t>
      </w:r>
      <w:r>
        <w:rPr>
          <w:rFonts w:hint="eastAsia" w:ascii="宋体" w:hAnsi="宋体" w:cs="宋体"/>
          <w:color w:val="auto"/>
          <w:spacing w:val="4"/>
          <w:sz w:val="24"/>
        </w:rPr>
        <w:t>应商的投标文件、广西壮族自治区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3"/>
          <w:sz w:val="24"/>
        </w:rPr>
        <w:t>电子卖场（网上超市）项目协议书和承诺书，签署本合同，以资共同遵守。</w:t>
      </w:r>
    </w:p>
    <w:p w14:paraId="4E9FF6A7">
      <w:pPr>
        <w:pStyle w:val="5"/>
        <w:spacing w:before="262"/>
        <w:ind w:left="403"/>
        <w:rPr>
          <w:rFonts w:hint="eastAsia" w:ascii="宋体" w:hAnsi="宋体" w:cs="宋体"/>
          <w:color w:val="auto"/>
          <w:sz w:val="24"/>
        </w:rPr>
      </w:pPr>
      <w:r>
        <w:rPr>
          <w:rFonts w:hint="eastAsia" w:ascii="宋体" w:hAnsi="宋体" w:cs="宋体"/>
          <w:b/>
          <w:bCs/>
          <w:color w:val="auto"/>
          <w:spacing w:val="2"/>
          <w:sz w:val="24"/>
        </w:rPr>
        <w:t>一、采购标的</w:t>
      </w:r>
    </w:p>
    <w:p w14:paraId="0EF01E08">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W w:w="10455"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25"/>
        <w:gridCol w:w="1656"/>
        <w:gridCol w:w="1196"/>
        <w:gridCol w:w="925"/>
        <w:gridCol w:w="925"/>
        <w:gridCol w:w="1549"/>
        <w:gridCol w:w="1237"/>
        <w:gridCol w:w="925"/>
        <w:gridCol w:w="1217"/>
      </w:tblGrid>
      <w:tr w14:paraId="1249C070">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9" w:hRule="atLeast"/>
          <w:jc w:val="center"/>
        </w:trPr>
        <w:tc>
          <w:tcPr>
            <w:tcW w:w="825" w:type="dxa"/>
            <w:noWrap w:val="0"/>
            <w:vAlign w:val="center"/>
          </w:tcPr>
          <w:p w14:paraId="103DC752">
            <w:pPr>
              <w:pStyle w:val="33"/>
              <w:keepNext w:val="0"/>
              <w:keepLines w:val="0"/>
              <w:suppressLineNumbers w:val="0"/>
              <w:spacing w:before="152" w:beforeAutospacing="0" w:after="0" w:afterAutospacing="0"/>
              <w:ind w:left="10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序号</w:t>
            </w:r>
          </w:p>
        </w:tc>
        <w:tc>
          <w:tcPr>
            <w:tcW w:w="1656" w:type="dxa"/>
            <w:noWrap w:val="0"/>
            <w:vAlign w:val="center"/>
          </w:tcPr>
          <w:p w14:paraId="0F7B55BD">
            <w:pPr>
              <w:pStyle w:val="33"/>
              <w:keepNext w:val="0"/>
              <w:keepLines w:val="0"/>
              <w:suppressLineNumbers w:val="0"/>
              <w:spacing w:before="211"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196" w:type="dxa"/>
            <w:noWrap w:val="0"/>
            <w:vAlign w:val="center"/>
          </w:tcPr>
          <w:p w14:paraId="04C76B57">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商品名称</w:t>
            </w:r>
          </w:p>
        </w:tc>
        <w:tc>
          <w:tcPr>
            <w:tcW w:w="925" w:type="dxa"/>
            <w:noWrap w:val="0"/>
            <w:vAlign w:val="center"/>
          </w:tcPr>
          <w:p w14:paraId="4A45932D">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品牌</w:t>
            </w:r>
          </w:p>
        </w:tc>
        <w:tc>
          <w:tcPr>
            <w:tcW w:w="925" w:type="dxa"/>
            <w:noWrap w:val="0"/>
            <w:vAlign w:val="center"/>
          </w:tcPr>
          <w:p w14:paraId="60CB0A6C">
            <w:pPr>
              <w:pStyle w:val="33"/>
              <w:keepNext w:val="0"/>
              <w:keepLines w:val="0"/>
              <w:suppressLineNumbers w:val="0"/>
              <w:spacing w:before="214"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型号</w:t>
            </w:r>
          </w:p>
        </w:tc>
        <w:tc>
          <w:tcPr>
            <w:tcW w:w="1549" w:type="dxa"/>
            <w:noWrap w:val="0"/>
            <w:vAlign w:val="center"/>
          </w:tcPr>
          <w:p w14:paraId="029CAA9B">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配置要求</w:t>
            </w:r>
          </w:p>
        </w:tc>
        <w:tc>
          <w:tcPr>
            <w:tcW w:w="1237" w:type="dxa"/>
            <w:noWrap w:val="0"/>
            <w:vAlign w:val="center"/>
          </w:tcPr>
          <w:p w14:paraId="73A23791">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采购数量</w:t>
            </w:r>
          </w:p>
        </w:tc>
        <w:tc>
          <w:tcPr>
            <w:tcW w:w="925" w:type="dxa"/>
            <w:noWrap w:val="0"/>
            <w:vAlign w:val="center"/>
          </w:tcPr>
          <w:p w14:paraId="133A83A2">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单位</w:t>
            </w:r>
          </w:p>
        </w:tc>
        <w:tc>
          <w:tcPr>
            <w:tcW w:w="1217" w:type="dxa"/>
            <w:noWrap w:val="0"/>
            <w:vAlign w:val="center"/>
          </w:tcPr>
          <w:p w14:paraId="2DDEEA39">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成交单价</w:t>
            </w:r>
          </w:p>
        </w:tc>
      </w:tr>
      <w:tr w14:paraId="1B899C0F">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476" w:hRule="atLeast"/>
          <w:jc w:val="center"/>
        </w:trPr>
        <w:tc>
          <w:tcPr>
            <w:tcW w:w="825" w:type="dxa"/>
            <w:noWrap w:val="0"/>
            <w:vAlign w:val="center"/>
          </w:tcPr>
          <w:p w14:paraId="28C3EFB9">
            <w:pPr>
              <w:keepNext w:val="0"/>
              <w:keepLines w:val="0"/>
              <w:suppressLineNumbers w:val="0"/>
              <w:spacing w:before="45" w:beforeAutospacing="0" w:after="0" w:afterAutospacing="0"/>
              <w:ind w:left="202" w:right="0"/>
              <w:jc w:val="center"/>
              <w:rPr>
                <w:rFonts w:hint="eastAsia" w:ascii="宋体" w:hAnsi="宋体" w:cs="宋体"/>
                <w:color w:val="auto"/>
                <w:sz w:val="24"/>
              </w:rPr>
            </w:pPr>
            <w:r>
              <w:rPr>
                <w:rFonts w:hint="eastAsia" w:ascii="宋体" w:hAnsi="宋体" w:cs="宋体"/>
                <w:color w:val="auto"/>
                <w:sz w:val="24"/>
              </w:rPr>
              <w:t>1</w:t>
            </w:r>
          </w:p>
        </w:tc>
        <w:tc>
          <w:tcPr>
            <w:tcW w:w="1656" w:type="dxa"/>
            <w:noWrap w:val="0"/>
            <w:vAlign w:val="center"/>
          </w:tcPr>
          <w:p w14:paraId="668ED670">
            <w:pPr>
              <w:pStyle w:val="33"/>
              <w:keepNext w:val="0"/>
              <w:keepLines w:val="0"/>
              <w:suppressLineNumbers w:val="0"/>
              <w:spacing w:before="2" w:beforeAutospacing="0" w:after="0" w:afterAutospacing="0"/>
              <w:ind w:left="197" w:right="0"/>
              <w:jc w:val="center"/>
              <w:rPr>
                <w:rFonts w:hint="eastAsia" w:ascii="宋体" w:hAnsi="宋体" w:eastAsia="宋体" w:cs="宋体"/>
                <w:color w:val="auto"/>
                <w:sz w:val="24"/>
                <w:szCs w:val="24"/>
              </w:rPr>
            </w:pPr>
          </w:p>
        </w:tc>
        <w:tc>
          <w:tcPr>
            <w:tcW w:w="1196" w:type="dxa"/>
            <w:noWrap w:val="0"/>
            <w:vAlign w:val="center"/>
          </w:tcPr>
          <w:p w14:paraId="17F66E48">
            <w:pPr>
              <w:pStyle w:val="33"/>
              <w:keepNext w:val="0"/>
              <w:keepLines w:val="0"/>
              <w:suppressLineNumbers w:val="0"/>
              <w:spacing w:before="207" w:beforeAutospacing="0" w:after="0" w:afterAutospacing="0"/>
              <w:ind w:left="468" w:right="154" w:hanging="325"/>
              <w:jc w:val="center"/>
              <w:rPr>
                <w:rFonts w:hint="eastAsia" w:ascii="宋体" w:hAnsi="宋体" w:eastAsia="宋体" w:cs="宋体"/>
                <w:color w:val="auto"/>
                <w:sz w:val="24"/>
                <w:szCs w:val="24"/>
              </w:rPr>
            </w:pPr>
          </w:p>
        </w:tc>
        <w:tc>
          <w:tcPr>
            <w:tcW w:w="925" w:type="dxa"/>
            <w:noWrap w:val="0"/>
            <w:vAlign w:val="center"/>
          </w:tcPr>
          <w:p w14:paraId="1F6D6D3D">
            <w:pPr>
              <w:pStyle w:val="33"/>
              <w:keepNext w:val="0"/>
              <w:keepLines w:val="0"/>
              <w:suppressLineNumbers w:val="0"/>
              <w:spacing w:before="64" w:beforeAutospacing="0" w:after="0" w:afterAutospacing="0"/>
              <w:ind w:left="302" w:right="0"/>
              <w:jc w:val="center"/>
              <w:rPr>
                <w:rFonts w:hint="eastAsia" w:ascii="宋体" w:hAnsi="宋体" w:eastAsia="宋体" w:cs="宋体"/>
                <w:color w:val="auto"/>
                <w:sz w:val="24"/>
                <w:szCs w:val="24"/>
              </w:rPr>
            </w:pPr>
          </w:p>
        </w:tc>
        <w:tc>
          <w:tcPr>
            <w:tcW w:w="925" w:type="dxa"/>
            <w:noWrap w:val="0"/>
            <w:vAlign w:val="center"/>
          </w:tcPr>
          <w:p w14:paraId="56F0C10C">
            <w:pPr>
              <w:pStyle w:val="33"/>
              <w:keepNext w:val="0"/>
              <w:keepLines w:val="0"/>
              <w:suppressLineNumbers w:val="0"/>
              <w:spacing w:before="64" w:beforeAutospacing="0" w:after="0" w:afterAutospacing="0"/>
              <w:ind w:left="180" w:right="0"/>
              <w:jc w:val="center"/>
              <w:rPr>
                <w:rFonts w:hint="eastAsia" w:ascii="宋体" w:hAnsi="宋体" w:eastAsia="宋体" w:cs="宋体"/>
                <w:color w:val="auto"/>
                <w:sz w:val="24"/>
                <w:szCs w:val="24"/>
              </w:rPr>
            </w:pPr>
          </w:p>
        </w:tc>
        <w:tc>
          <w:tcPr>
            <w:tcW w:w="1549" w:type="dxa"/>
            <w:noWrap w:val="0"/>
            <w:vAlign w:val="center"/>
          </w:tcPr>
          <w:p w14:paraId="4E90E500">
            <w:pPr>
              <w:pStyle w:val="33"/>
              <w:keepNext w:val="0"/>
              <w:keepLines w:val="0"/>
              <w:suppressLineNumbers w:val="0"/>
              <w:spacing w:before="29" w:beforeAutospacing="0" w:after="0" w:afterAutospacing="0"/>
              <w:ind w:left="447" w:right="0"/>
              <w:jc w:val="center"/>
              <w:rPr>
                <w:rFonts w:hint="eastAsia" w:ascii="宋体" w:hAnsi="宋体" w:eastAsia="宋体" w:cs="宋体"/>
                <w:color w:val="auto"/>
                <w:sz w:val="24"/>
                <w:szCs w:val="24"/>
              </w:rPr>
            </w:pPr>
          </w:p>
        </w:tc>
        <w:tc>
          <w:tcPr>
            <w:tcW w:w="1237" w:type="dxa"/>
            <w:noWrap w:val="0"/>
            <w:vAlign w:val="center"/>
          </w:tcPr>
          <w:p w14:paraId="41DBBE9E">
            <w:pPr>
              <w:keepNext w:val="0"/>
              <w:keepLines w:val="0"/>
              <w:suppressLineNumbers w:val="0"/>
              <w:spacing w:before="45" w:beforeAutospacing="0" w:after="0" w:afterAutospacing="0"/>
              <w:ind w:left="384" w:right="0"/>
              <w:jc w:val="center"/>
              <w:rPr>
                <w:rFonts w:hint="eastAsia" w:ascii="宋体" w:hAnsi="宋体" w:cs="宋体"/>
                <w:color w:val="auto"/>
                <w:sz w:val="24"/>
              </w:rPr>
            </w:pPr>
          </w:p>
        </w:tc>
        <w:tc>
          <w:tcPr>
            <w:tcW w:w="925" w:type="dxa"/>
            <w:noWrap w:val="0"/>
            <w:vAlign w:val="center"/>
          </w:tcPr>
          <w:p w14:paraId="13C409B9">
            <w:pPr>
              <w:pStyle w:val="33"/>
              <w:keepNext w:val="0"/>
              <w:keepLines w:val="0"/>
              <w:suppressLineNumbers w:val="0"/>
              <w:spacing w:before="64" w:beforeAutospacing="0" w:after="0" w:afterAutospacing="0"/>
              <w:ind w:left="388" w:right="0"/>
              <w:jc w:val="center"/>
              <w:rPr>
                <w:rFonts w:hint="eastAsia" w:ascii="宋体" w:hAnsi="宋体" w:eastAsia="宋体" w:cs="宋体"/>
                <w:color w:val="auto"/>
                <w:sz w:val="24"/>
                <w:szCs w:val="24"/>
              </w:rPr>
            </w:pPr>
          </w:p>
        </w:tc>
        <w:tc>
          <w:tcPr>
            <w:tcW w:w="1217" w:type="dxa"/>
            <w:noWrap w:val="0"/>
            <w:vAlign w:val="center"/>
          </w:tcPr>
          <w:p w14:paraId="4AA098A0">
            <w:pPr>
              <w:pStyle w:val="33"/>
              <w:keepNext w:val="0"/>
              <w:keepLines w:val="0"/>
              <w:suppressLineNumbers w:val="0"/>
              <w:spacing w:before="64" w:beforeAutospacing="0" w:after="0" w:afterAutospacing="0"/>
              <w:ind w:left="428" w:right="0"/>
              <w:jc w:val="center"/>
              <w:rPr>
                <w:rFonts w:hint="eastAsia" w:ascii="宋体" w:hAnsi="宋体" w:eastAsia="宋体" w:cs="宋体"/>
                <w:color w:val="auto"/>
                <w:sz w:val="24"/>
                <w:szCs w:val="24"/>
              </w:rPr>
            </w:pPr>
          </w:p>
        </w:tc>
      </w:tr>
      <w:tr w14:paraId="4A95199A">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2" w:hRule="atLeast"/>
          <w:jc w:val="center"/>
        </w:trPr>
        <w:tc>
          <w:tcPr>
            <w:tcW w:w="2481" w:type="dxa"/>
            <w:gridSpan w:val="2"/>
            <w:noWrap w:val="0"/>
            <w:vAlign w:val="center"/>
          </w:tcPr>
          <w:p w14:paraId="34D1A7A5">
            <w:pPr>
              <w:pStyle w:val="33"/>
              <w:keepNext w:val="0"/>
              <w:keepLines w:val="0"/>
              <w:suppressLineNumbers w:val="0"/>
              <w:spacing w:before="105" w:beforeAutospacing="0" w:after="0" w:afterAutospacing="0"/>
              <w:ind w:left="386"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合同总价（元）</w:t>
            </w:r>
          </w:p>
        </w:tc>
        <w:tc>
          <w:tcPr>
            <w:tcW w:w="7974" w:type="dxa"/>
            <w:gridSpan w:val="7"/>
            <w:noWrap w:val="0"/>
            <w:vAlign w:val="center"/>
          </w:tcPr>
          <w:p w14:paraId="69DF6213">
            <w:pPr>
              <w:pStyle w:val="33"/>
              <w:keepNext w:val="0"/>
              <w:keepLines w:val="0"/>
              <w:suppressLineNumbers w:val="0"/>
              <w:spacing w:before="120" w:beforeAutospacing="0" w:after="0" w:afterAutospacing="0"/>
              <w:ind w:left="3861" w:right="0"/>
              <w:jc w:val="center"/>
              <w:rPr>
                <w:rFonts w:hint="eastAsia" w:ascii="宋体" w:hAnsi="宋体" w:eastAsia="宋体" w:cs="宋体"/>
                <w:color w:val="auto"/>
                <w:sz w:val="24"/>
                <w:szCs w:val="24"/>
              </w:rPr>
            </w:pPr>
          </w:p>
        </w:tc>
      </w:tr>
      <w:tr w14:paraId="2612D5F5">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8" w:hRule="atLeast"/>
          <w:jc w:val="center"/>
        </w:trPr>
        <w:tc>
          <w:tcPr>
            <w:tcW w:w="2481" w:type="dxa"/>
            <w:gridSpan w:val="2"/>
            <w:noWrap w:val="0"/>
            <w:vAlign w:val="center"/>
          </w:tcPr>
          <w:p w14:paraId="58224CCC">
            <w:pPr>
              <w:pStyle w:val="33"/>
              <w:keepNext w:val="0"/>
              <w:keepLines w:val="0"/>
              <w:suppressLineNumbers w:val="0"/>
              <w:spacing w:before="106" w:beforeAutospacing="0" w:after="0" w:afterAutospacing="0"/>
              <w:ind w:left="309"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合同总价（大写）</w:t>
            </w:r>
          </w:p>
        </w:tc>
        <w:tc>
          <w:tcPr>
            <w:tcW w:w="7974" w:type="dxa"/>
            <w:gridSpan w:val="7"/>
            <w:noWrap w:val="0"/>
            <w:vAlign w:val="center"/>
          </w:tcPr>
          <w:p w14:paraId="41768099">
            <w:pPr>
              <w:pStyle w:val="33"/>
              <w:keepNext w:val="0"/>
              <w:keepLines w:val="0"/>
              <w:suppressLineNumbers w:val="0"/>
              <w:spacing w:before="106" w:beforeAutospacing="0" w:after="0" w:afterAutospacing="0"/>
              <w:ind w:left="3320" w:right="0"/>
              <w:jc w:val="center"/>
              <w:rPr>
                <w:rFonts w:hint="eastAsia" w:ascii="宋体" w:hAnsi="宋体" w:eastAsia="宋体" w:cs="宋体"/>
                <w:color w:val="auto"/>
                <w:sz w:val="24"/>
                <w:szCs w:val="24"/>
              </w:rPr>
            </w:pPr>
          </w:p>
        </w:tc>
      </w:tr>
    </w:tbl>
    <w:p w14:paraId="7E0CD582">
      <w:pPr>
        <w:rPr>
          <w:rFonts w:hint="eastAsia" w:ascii="宋体" w:hAnsi="宋体" w:cs="宋体"/>
          <w:color w:val="auto"/>
          <w:sz w:val="24"/>
        </w:rPr>
      </w:pPr>
    </w:p>
    <w:p w14:paraId="4844C032">
      <w:pPr>
        <w:pStyle w:val="5"/>
        <w:spacing w:before="65"/>
        <w:rPr>
          <w:rFonts w:hint="eastAsia" w:ascii="宋体" w:hAnsi="宋体" w:cs="宋体"/>
          <w:color w:val="auto"/>
          <w:sz w:val="24"/>
        </w:rPr>
      </w:pPr>
      <w:r>
        <w:rPr>
          <w:rFonts w:hint="eastAsia" w:ascii="宋体" w:hAnsi="宋体" w:cs="宋体"/>
          <w:color w:val="auto"/>
          <w:spacing w:val="-7"/>
          <w:sz w:val="24"/>
        </w:rPr>
        <w:t>注：</w:t>
      </w:r>
    </w:p>
    <w:p w14:paraId="69E0AA8C">
      <w:pPr>
        <w:pStyle w:val="5"/>
        <w:spacing w:before="30"/>
        <w:ind w:right="251"/>
        <w:rPr>
          <w:rFonts w:hint="eastAsia" w:ascii="宋体" w:hAnsi="宋体" w:cs="宋体"/>
          <w:color w:val="auto"/>
          <w:sz w:val="24"/>
        </w:rPr>
      </w:pPr>
      <w:r>
        <w:rPr>
          <w:rFonts w:hint="eastAsia" w:ascii="宋体" w:hAnsi="宋体" w:cs="宋体"/>
          <w:color w:val="auto"/>
          <w:spacing w:val="5"/>
          <w:sz w:val="24"/>
        </w:rPr>
        <w:t>合同总价包含商品到达甲方并能正常使用所</w:t>
      </w:r>
      <w:r>
        <w:rPr>
          <w:rFonts w:hint="eastAsia" w:ascii="宋体" w:hAnsi="宋体" w:cs="宋体"/>
          <w:color w:val="auto"/>
          <w:spacing w:val="4"/>
          <w:sz w:val="24"/>
        </w:rPr>
        <w:t>需的一切费用，包括但不限于商品购置费、包装费、运输费、装卸费、保险费、安装调试费、技术服务</w:t>
      </w:r>
      <w:r>
        <w:rPr>
          <w:rFonts w:hint="eastAsia" w:ascii="宋体" w:hAnsi="宋体" w:cs="宋体"/>
          <w:color w:val="auto"/>
          <w:spacing w:val="2"/>
          <w:sz w:val="24"/>
        </w:rPr>
        <w:t>费、培训费以及保修费、税费等。</w:t>
      </w:r>
    </w:p>
    <w:p w14:paraId="01889094">
      <w:pPr>
        <w:pStyle w:val="5"/>
        <w:spacing w:before="262"/>
        <w:ind w:left="403"/>
        <w:rPr>
          <w:rFonts w:hint="eastAsia" w:ascii="宋体" w:hAnsi="宋体" w:cs="宋体"/>
          <w:color w:val="auto"/>
          <w:sz w:val="24"/>
        </w:rPr>
      </w:pPr>
      <w:r>
        <w:rPr>
          <w:rFonts w:hint="eastAsia" w:ascii="宋体" w:hAnsi="宋体" w:cs="宋体"/>
          <w:b/>
          <w:bCs/>
          <w:color w:val="auto"/>
          <w:spacing w:val="3"/>
          <w:sz w:val="24"/>
        </w:rPr>
        <w:t>二、资金来源及支付方式</w:t>
      </w:r>
    </w:p>
    <w:p w14:paraId="2F7F7790">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pPr w:leftFromText="180" w:rightFromText="180" w:vertAnchor="page" w:horzAnchor="page" w:tblpXSpec="center" w:tblpY="13524"/>
        <w:tblOverlap w:val="never"/>
        <w:tblW w:w="10220"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9"/>
        <w:gridCol w:w="2055"/>
        <w:gridCol w:w="1453"/>
        <w:gridCol w:w="886"/>
        <w:gridCol w:w="1460"/>
        <w:gridCol w:w="1739"/>
        <w:gridCol w:w="1758"/>
      </w:tblGrid>
      <w:tr w14:paraId="0C968278">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14:paraId="16494971">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序号</w:t>
            </w:r>
          </w:p>
        </w:tc>
        <w:tc>
          <w:tcPr>
            <w:tcW w:w="2055" w:type="dxa"/>
            <w:noWrap w:val="0"/>
            <w:vAlign w:val="center"/>
          </w:tcPr>
          <w:p w14:paraId="2A506C77">
            <w:pPr>
              <w:pStyle w:val="33"/>
              <w:keepNext w:val="0"/>
              <w:keepLines w:val="0"/>
              <w:suppressLineNumbers w:val="0"/>
              <w:spacing w:before="10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453" w:type="dxa"/>
            <w:noWrap w:val="0"/>
            <w:vAlign w:val="center"/>
          </w:tcPr>
          <w:p w14:paraId="5B31B26F">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采购目录</w:t>
            </w:r>
          </w:p>
        </w:tc>
        <w:tc>
          <w:tcPr>
            <w:tcW w:w="886" w:type="dxa"/>
            <w:noWrap w:val="0"/>
            <w:vAlign w:val="center"/>
          </w:tcPr>
          <w:p w14:paraId="0CD5362C">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数量</w:t>
            </w:r>
          </w:p>
        </w:tc>
        <w:tc>
          <w:tcPr>
            <w:tcW w:w="1460" w:type="dxa"/>
            <w:noWrap w:val="0"/>
            <w:vAlign w:val="center"/>
          </w:tcPr>
          <w:p w14:paraId="6DC0EE90">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预算资金</w:t>
            </w:r>
          </w:p>
        </w:tc>
        <w:tc>
          <w:tcPr>
            <w:tcW w:w="1739" w:type="dxa"/>
            <w:noWrap w:val="0"/>
            <w:vAlign w:val="center"/>
          </w:tcPr>
          <w:p w14:paraId="0F7FC86B">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资金来源性质</w:t>
            </w:r>
          </w:p>
        </w:tc>
        <w:tc>
          <w:tcPr>
            <w:tcW w:w="1758" w:type="dxa"/>
            <w:noWrap w:val="0"/>
            <w:vAlign w:val="center"/>
          </w:tcPr>
          <w:p w14:paraId="23D577CB">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资金支付方式</w:t>
            </w:r>
          </w:p>
        </w:tc>
      </w:tr>
      <w:tr w14:paraId="731E1A3F">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14:paraId="4EFEE670">
            <w:pPr>
              <w:pStyle w:val="33"/>
              <w:keepNext w:val="0"/>
              <w:keepLines w:val="0"/>
              <w:suppressLineNumbers w:val="0"/>
              <w:spacing w:before="100" w:beforeAutospacing="0" w:after="0" w:afterAutospacing="0"/>
              <w:ind w:left="572" w:right="0"/>
              <w:jc w:val="center"/>
              <w:rPr>
                <w:rFonts w:hint="eastAsia" w:ascii="宋体" w:hAnsi="宋体" w:eastAsia="宋体" w:cs="宋体"/>
                <w:color w:val="auto"/>
                <w:spacing w:val="3"/>
                <w:sz w:val="24"/>
                <w:szCs w:val="24"/>
              </w:rPr>
            </w:pPr>
          </w:p>
        </w:tc>
        <w:tc>
          <w:tcPr>
            <w:tcW w:w="2055" w:type="dxa"/>
            <w:noWrap w:val="0"/>
            <w:vAlign w:val="center"/>
          </w:tcPr>
          <w:p w14:paraId="52015920">
            <w:pPr>
              <w:pStyle w:val="33"/>
              <w:keepNext w:val="0"/>
              <w:keepLines w:val="0"/>
              <w:suppressLineNumbers w:val="0"/>
              <w:spacing w:before="101" w:beforeAutospacing="0" w:after="0" w:afterAutospacing="0"/>
              <w:ind w:left="265" w:right="0"/>
              <w:jc w:val="center"/>
              <w:rPr>
                <w:rFonts w:hint="eastAsia" w:ascii="宋体" w:hAnsi="宋体" w:eastAsia="宋体" w:cs="宋体"/>
                <w:color w:val="auto"/>
                <w:spacing w:val="4"/>
                <w:sz w:val="24"/>
                <w:szCs w:val="24"/>
              </w:rPr>
            </w:pPr>
          </w:p>
        </w:tc>
        <w:tc>
          <w:tcPr>
            <w:tcW w:w="1453" w:type="dxa"/>
            <w:noWrap w:val="0"/>
            <w:vAlign w:val="center"/>
          </w:tcPr>
          <w:p w14:paraId="74508B4A">
            <w:pPr>
              <w:pStyle w:val="33"/>
              <w:keepNext w:val="0"/>
              <w:keepLines w:val="0"/>
              <w:suppressLineNumbers w:val="0"/>
              <w:spacing w:before="102" w:beforeAutospacing="0" w:after="0" w:afterAutospacing="0"/>
              <w:ind w:left="415" w:right="0"/>
              <w:jc w:val="center"/>
              <w:rPr>
                <w:rFonts w:hint="eastAsia" w:ascii="宋体" w:hAnsi="宋体" w:eastAsia="宋体" w:cs="宋体"/>
                <w:color w:val="auto"/>
                <w:spacing w:val="3"/>
                <w:sz w:val="24"/>
                <w:szCs w:val="24"/>
              </w:rPr>
            </w:pPr>
          </w:p>
        </w:tc>
        <w:tc>
          <w:tcPr>
            <w:tcW w:w="886" w:type="dxa"/>
            <w:noWrap w:val="0"/>
            <w:vAlign w:val="center"/>
          </w:tcPr>
          <w:p w14:paraId="292034AB">
            <w:pPr>
              <w:pStyle w:val="33"/>
              <w:keepNext w:val="0"/>
              <w:keepLines w:val="0"/>
              <w:suppressLineNumbers w:val="0"/>
              <w:spacing w:before="102" w:beforeAutospacing="0" w:after="0" w:afterAutospacing="0"/>
              <w:ind w:left="576" w:right="0"/>
              <w:jc w:val="center"/>
              <w:rPr>
                <w:rFonts w:hint="eastAsia" w:ascii="宋体" w:hAnsi="宋体" w:eastAsia="宋体" w:cs="宋体"/>
                <w:color w:val="auto"/>
                <w:spacing w:val="3"/>
                <w:sz w:val="24"/>
                <w:szCs w:val="24"/>
              </w:rPr>
            </w:pPr>
          </w:p>
        </w:tc>
        <w:tc>
          <w:tcPr>
            <w:tcW w:w="1460" w:type="dxa"/>
            <w:noWrap w:val="0"/>
            <w:vAlign w:val="center"/>
          </w:tcPr>
          <w:p w14:paraId="1256362D">
            <w:pPr>
              <w:pStyle w:val="33"/>
              <w:keepNext w:val="0"/>
              <w:keepLines w:val="0"/>
              <w:suppressLineNumbers w:val="0"/>
              <w:spacing w:before="100" w:beforeAutospacing="0" w:after="0" w:afterAutospacing="0"/>
              <w:ind w:left="418" w:right="0"/>
              <w:jc w:val="center"/>
              <w:rPr>
                <w:rFonts w:hint="eastAsia" w:ascii="宋体" w:hAnsi="宋体" w:eastAsia="宋体" w:cs="宋体"/>
                <w:color w:val="auto"/>
                <w:spacing w:val="3"/>
                <w:sz w:val="24"/>
                <w:szCs w:val="24"/>
              </w:rPr>
            </w:pPr>
          </w:p>
        </w:tc>
        <w:tc>
          <w:tcPr>
            <w:tcW w:w="1739" w:type="dxa"/>
            <w:noWrap w:val="0"/>
            <w:vAlign w:val="center"/>
          </w:tcPr>
          <w:p w14:paraId="6915C8F5">
            <w:pPr>
              <w:pStyle w:val="33"/>
              <w:keepNext w:val="0"/>
              <w:keepLines w:val="0"/>
              <w:suppressLineNumbers w:val="0"/>
              <w:spacing w:before="100" w:beforeAutospacing="0" w:after="0" w:afterAutospacing="0"/>
              <w:ind w:left="270" w:right="0"/>
              <w:jc w:val="center"/>
              <w:rPr>
                <w:rFonts w:hint="eastAsia" w:ascii="宋体" w:hAnsi="宋体" w:eastAsia="宋体" w:cs="宋体"/>
                <w:color w:val="auto"/>
                <w:spacing w:val="3"/>
                <w:sz w:val="24"/>
                <w:szCs w:val="24"/>
              </w:rPr>
            </w:pPr>
          </w:p>
        </w:tc>
        <w:tc>
          <w:tcPr>
            <w:tcW w:w="1758" w:type="dxa"/>
            <w:noWrap w:val="0"/>
            <w:vAlign w:val="center"/>
          </w:tcPr>
          <w:p w14:paraId="059A9FC7">
            <w:pPr>
              <w:pStyle w:val="33"/>
              <w:keepNext w:val="0"/>
              <w:keepLines w:val="0"/>
              <w:suppressLineNumbers w:val="0"/>
              <w:spacing w:before="100" w:beforeAutospacing="0" w:after="0" w:afterAutospacing="0"/>
              <w:ind w:left="264" w:right="0"/>
              <w:jc w:val="center"/>
              <w:rPr>
                <w:rFonts w:hint="eastAsia" w:ascii="宋体" w:hAnsi="宋体" w:eastAsia="宋体" w:cs="宋体"/>
                <w:color w:val="auto"/>
                <w:spacing w:val="3"/>
                <w:sz w:val="24"/>
                <w:szCs w:val="24"/>
              </w:rPr>
            </w:pPr>
          </w:p>
        </w:tc>
      </w:tr>
    </w:tbl>
    <w:p w14:paraId="22811AB3">
      <w:pPr>
        <w:pStyle w:val="5"/>
        <w:spacing w:before="45" w:line="240" w:lineRule="exact"/>
        <w:rPr>
          <w:rFonts w:hint="eastAsia" w:ascii="宋体" w:hAnsi="宋体" w:cs="宋体"/>
          <w:color w:val="auto"/>
          <w:spacing w:val="-7"/>
          <w:sz w:val="24"/>
        </w:rPr>
      </w:pPr>
    </w:p>
    <w:p w14:paraId="6E28BE88">
      <w:pPr>
        <w:pStyle w:val="5"/>
        <w:spacing w:before="45" w:line="260" w:lineRule="exact"/>
        <w:rPr>
          <w:rFonts w:hint="eastAsia" w:ascii="宋体" w:hAnsi="宋体" w:cs="宋体"/>
          <w:color w:val="auto"/>
          <w:sz w:val="24"/>
        </w:rPr>
      </w:pPr>
      <w:r>
        <w:rPr>
          <w:rFonts w:hint="eastAsia" w:ascii="宋体" w:hAnsi="宋体" w:cs="宋体"/>
          <w:color w:val="auto"/>
          <w:spacing w:val="-7"/>
          <w:sz w:val="24"/>
        </w:rPr>
        <w:t>注：</w:t>
      </w:r>
    </w:p>
    <w:p w14:paraId="4635B02F">
      <w:pPr>
        <w:pStyle w:val="5"/>
        <w:spacing w:before="29" w:line="260" w:lineRule="exact"/>
        <w:ind w:right="296"/>
        <w:rPr>
          <w:rFonts w:hint="eastAsia" w:ascii="宋体" w:hAnsi="宋体" w:cs="宋体"/>
          <w:color w:val="auto"/>
          <w:sz w:val="24"/>
        </w:rPr>
      </w:pPr>
      <w:r>
        <w:rPr>
          <w:rFonts w:hint="eastAsia" w:ascii="宋体" w:hAnsi="宋体" w:cs="宋体"/>
          <w:color w:val="auto"/>
          <w:spacing w:val="4"/>
          <w:sz w:val="24"/>
        </w:rPr>
        <w:t>1、资金来源性质包括预算内资金、专户资金、其它、核算其它、预</w:t>
      </w:r>
      <w:r>
        <w:rPr>
          <w:rFonts w:hint="eastAsia" w:ascii="宋体" w:hAnsi="宋体" w:cs="宋体"/>
          <w:color w:val="auto"/>
          <w:spacing w:val="3"/>
          <w:sz w:val="24"/>
        </w:rPr>
        <w:t>算内暂存、专户资金暂存、核算其它暂存等，根据采购计划核定的性质填写。</w:t>
      </w:r>
      <w:r>
        <w:rPr>
          <w:rFonts w:hint="eastAsia" w:ascii="宋体" w:hAnsi="宋体" w:cs="宋体"/>
          <w:color w:val="auto"/>
          <w:sz w:val="24"/>
        </w:rPr>
        <w:t xml:space="preserve"> </w:t>
      </w:r>
    </w:p>
    <w:p w14:paraId="14602ABC">
      <w:pPr>
        <w:pStyle w:val="5"/>
        <w:spacing w:before="29" w:line="260" w:lineRule="exact"/>
        <w:ind w:right="296"/>
        <w:rPr>
          <w:rFonts w:hint="eastAsia" w:ascii="宋体" w:hAnsi="宋体" w:cs="宋体"/>
          <w:color w:val="auto"/>
          <w:sz w:val="24"/>
        </w:rPr>
      </w:pPr>
      <w:r>
        <w:rPr>
          <w:rFonts w:hint="eastAsia" w:ascii="宋体" w:hAnsi="宋体" w:cs="宋体"/>
          <w:color w:val="auto"/>
          <w:spacing w:val="3"/>
          <w:sz w:val="24"/>
        </w:rPr>
        <w:t>2、资金支付方式包括财政直接支付或财政授权支付、单位自行支付，根据采购计划核定的方式填写。</w:t>
      </w:r>
    </w:p>
    <w:p w14:paraId="2F1746AA">
      <w:pPr>
        <w:pStyle w:val="5"/>
        <w:spacing w:before="262" w:line="260" w:lineRule="exact"/>
        <w:ind w:left="403"/>
        <w:outlineLvl w:val="0"/>
        <w:rPr>
          <w:rFonts w:hint="eastAsia" w:ascii="宋体" w:hAnsi="宋体" w:cs="宋体"/>
          <w:color w:val="auto"/>
          <w:sz w:val="24"/>
        </w:rPr>
      </w:pPr>
      <w:r>
        <w:rPr>
          <w:rFonts w:hint="eastAsia" w:ascii="宋体" w:hAnsi="宋体" w:cs="宋体"/>
          <w:b/>
          <w:bCs/>
          <w:color w:val="auto"/>
          <w:spacing w:val="3"/>
          <w:sz w:val="24"/>
        </w:rPr>
        <w:t>三、货款结算</w:t>
      </w:r>
    </w:p>
    <w:p w14:paraId="4E899675">
      <w:pPr>
        <w:pStyle w:val="5"/>
        <w:spacing w:before="30" w:line="260" w:lineRule="exact"/>
        <w:ind w:right="247"/>
        <w:rPr>
          <w:rFonts w:hint="eastAsia" w:ascii="宋体" w:hAnsi="宋体" w:cs="宋体"/>
          <w:color w:val="auto"/>
          <w:sz w:val="24"/>
        </w:rPr>
      </w:pPr>
      <w:r>
        <w:rPr>
          <w:rFonts w:hint="eastAsia" w:ascii="宋体" w:hAnsi="宋体" w:cs="宋体"/>
          <w:color w:val="auto"/>
          <w:spacing w:val="4"/>
          <w:sz w:val="24"/>
        </w:rPr>
        <w:t>1、实行国库集中支付改革的单位：甲方应根据采购计划确认的资金支付方式，按规定将货款全部支付（或申请支付）给乙方。其中确认“财政直</w:t>
      </w:r>
      <w:r>
        <w:rPr>
          <w:rFonts w:hint="eastAsia" w:ascii="宋体" w:hAnsi="宋体" w:cs="宋体"/>
          <w:color w:val="auto"/>
          <w:sz w:val="24"/>
        </w:rPr>
        <w:t xml:space="preserve">   </w:t>
      </w:r>
      <w:r>
        <w:rPr>
          <w:rFonts w:hint="eastAsia" w:ascii="宋体" w:hAnsi="宋体" w:cs="宋体"/>
          <w:color w:val="auto"/>
          <w:spacing w:val="4"/>
          <w:sz w:val="24"/>
        </w:rPr>
        <w:t>接支付方式”的，甲方应在货物验收合格后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4"/>
          <w:sz w:val="24"/>
        </w:rPr>
        <w:t>个工作日内，向财政国库支付机构提出申请支付令、办理国库支付手续，财政国库支付机构应在规定时</w:t>
      </w:r>
      <w:r>
        <w:rPr>
          <w:rFonts w:hint="eastAsia" w:ascii="宋体" w:hAnsi="宋体" w:cs="宋体"/>
          <w:color w:val="auto"/>
          <w:sz w:val="24"/>
        </w:rPr>
        <w:t xml:space="preserve">  </w:t>
      </w:r>
      <w:r>
        <w:rPr>
          <w:rFonts w:hint="eastAsia" w:ascii="宋体" w:hAnsi="宋体" w:cs="宋体"/>
          <w:color w:val="auto"/>
          <w:spacing w:val="4"/>
          <w:sz w:val="24"/>
        </w:rPr>
        <w:t>间内（不计入甲方付款期限</w:t>
      </w:r>
      <w:r>
        <w:rPr>
          <w:rFonts w:hint="eastAsia" w:ascii="宋体" w:hAnsi="宋体" w:cs="宋体"/>
          <w:color w:val="auto"/>
          <w:spacing w:val="10"/>
          <w:sz w:val="24"/>
        </w:rPr>
        <w:t>），</w:t>
      </w:r>
      <w:r>
        <w:rPr>
          <w:rFonts w:hint="eastAsia" w:ascii="宋体" w:hAnsi="宋体" w:cs="宋体"/>
          <w:color w:val="auto"/>
          <w:spacing w:val="4"/>
          <w:sz w:val="24"/>
        </w:rPr>
        <w:t xml:space="preserve">将货款支付给乙方；确认“财政授权支付或单位自行支付方式”的，由甲方在货物验收合格后 </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15"/>
          <w:sz w:val="24"/>
          <w:u w:val="single"/>
        </w:rPr>
        <w:t xml:space="preserve">   </w:t>
      </w:r>
      <w:r>
        <w:rPr>
          <w:rFonts w:hint="eastAsia" w:ascii="宋体" w:hAnsi="宋体" w:cs="宋体"/>
          <w:color w:val="auto"/>
          <w:spacing w:val="4"/>
          <w:sz w:val="24"/>
        </w:rPr>
        <w:t>个工作日内自行将货</w:t>
      </w:r>
      <w:r>
        <w:rPr>
          <w:rFonts w:hint="eastAsia" w:ascii="宋体" w:hAnsi="宋体" w:cs="宋体"/>
          <w:color w:val="auto"/>
          <w:sz w:val="24"/>
        </w:rPr>
        <w:t xml:space="preserve"> 款直接支付给乙方。</w:t>
      </w:r>
    </w:p>
    <w:p w14:paraId="4ED137CD">
      <w:pPr>
        <w:pStyle w:val="5"/>
        <w:spacing w:before="30" w:line="260" w:lineRule="exact"/>
        <w:rPr>
          <w:rFonts w:hint="eastAsia" w:ascii="宋体" w:hAnsi="宋体" w:cs="宋体"/>
          <w:color w:val="auto"/>
          <w:spacing w:val="3"/>
          <w:sz w:val="24"/>
        </w:rPr>
      </w:pPr>
      <w:r>
        <w:rPr>
          <w:rFonts w:hint="eastAsia" w:ascii="宋体" w:hAnsi="宋体" w:cs="宋体"/>
          <w:color w:val="auto"/>
          <w:spacing w:val="3"/>
          <w:sz w:val="24"/>
        </w:rPr>
        <w:t>2、未实行国库集中支付改革的单位：由甲方在货物验收合格后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20"/>
          <w:sz w:val="24"/>
          <w:highlight w:val="none"/>
          <w:u w:val="single"/>
        </w:rPr>
        <w:t xml:space="preserve">   </w:t>
      </w:r>
      <w:r>
        <w:rPr>
          <w:rFonts w:hint="eastAsia" w:ascii="宋体" w:hAnsi="宋体" w:cs="宋体"/>
          <w:color w:val="auto"/>
          <w:spacing w:val="3"/>
          <w:sz w:val="24"/>
          <w:highlight w:val="none"/>
        </w:rPr>
        <w:t>个</w:t>
      </w:r>
      <w:r>
        <w:rPr>
          <w:rFonts w:hint="eastAsia" w:ascii="宋体" w:hAnsi="宋体" w:cs="宋体"/>
          <w:color w:val="auto"/>
          <w:spacing w:val="3"/>
          <w:sz w:val="24"/>
        </w:rPr>
        <w:t>工作日内</w:t>
      </w:r>
    </w:p>
    <w:p w14:paraId="192D743A">
      <w:pPr>
        <w:pStyle w:val="5"/>
        <w:spacing w:before="30" w:line="260" w:lineRule="exact"/>
        <w:rPr>
          <w:rFonts w:hint="eastAsia" w:ascii="宋体" w:hAnsi="宋体" w:cs="宋体"/>
          <w:color w:val="auto"/>
          <w:sz w:val="24"/>
        </w:rPr>
      </w:pPr>
      <w:r>
        <w:rPr>
          <w:rFonts w:hint="eastAsia" w:ascii="宋体" w:hAnsi="宋体" w:cs="宋体"/>
          <w:color w:val="auto"/>
          <w:spacing w:val="3"/>
          <w:sz w:val="24"/>
        </w:rPr>
        <w:t>自行将货款直接支付给乙方。</w:t>
      </w:r>
    </w:p>
    <w:p w14:paraId="6AA38493">
      <w:pPr>
        <w:pStyle w:val="5"/>
        <w:spacing w:before="30" w:line="260" w:lineRule="exact"/>
        <w:ind w:right="361"/>
        <w:rPr>
          <w:rFonts w:hint="eastAsia" w:ascii="宋体" w:hAnsi="宋体" w:cs="宋体"/>
          <w:color w:val="auto"/>
          <w:sz w:val="24"/>
        </w:rPr>
      </w:pPr>
      <w:r>
        <w:rPr>
          <w:rFonts w:hint="eastAsia" w:ascii="宋体" w:hAnsi="宋体" w:cs="宋体"/>
          <w:color w:val="auto"/>
          <w:spacing w:val="4"/>
          <w:sz w:val="24"/>
        </w:rPr>
        <w:t>3、甲方付款前，乙方应向甲方开具等额有效的增值税发票，甲方未收到发票的，有权不予支付相应款项直至乙方提供合格发票，并不承担延迟付</w:t>
      </w:r>
      <w:r>
        <w:rPr>
          <w:rFonts w:hint="eastAsia" w:ascii="宋体" w:hAnsi="宋体" w:cs="宋体"/>
          <w:color w:val="auto"/>
          <w:spacing w:val="6"/>
          <w:sz w:val="24"/>
        </w:rPr>
        <w:t xml:space="preserve"> </w:t>
      </w:r>
      <w:r>
        <w:rPr>
          <w:rFonts w:hint="eastAsia" w:ascii="宋体" w:hAnsi="宋体" w:cs="宋体"/>
          <w:color w:val="auto"/>
          <w:spacing w:val="4"/>
          <w:sz w:val="24"/>
        </w:rPr>
        <w:t>款责任。发票认证通过是付款的必要前提之一。</w:t>
      </w:r>
    </w:p>
    <w:p w14:paraId="702982FF">
      <w:pPr>
        <w:pStyle w:val="5"/>
        <w:spacing w:before="28" w:line="240" w:lineRule="auto"/>
        <w:rPr>
          <w:rFonts w:hint="eastAsia" w:ascii="宋体" w:hAnsi="宋体" w:eastAsia="宋体" w:cs="宋体"/>
          <w:color w:val="auto"/>
          <w:sz w:val="24"/>
          <w:szCs w:val="24"/>
          <w:u w:val="single"/>
        </w:rPr>
      </w:pPr>
      <w:r>
        <w:rPr>
          <w:rFonts w:hint="eastAsia" w:ascii="宋体" w:hAnsi="宋体" w:cs="宋体"/>
          <w:color w:val="auto"/>
          <w:spacing w:val="2"/>
          <w:sz w:val="24"/>
        </w:rPr>
        <w:t>4、</w:t>
      </w:r>
      <w:r>
        <w:rPr>
          <w:rFonts w:hint="eastAsia" w:ascii="宋体" w:hAnsi="宋体" w:eastAsia="宋体" w:cs="宋体"/>
          <w:color w:val="auto"/>
          <w:sz w:val="24"/>
          <w:szCs w:val="24"/>
          <w:u w:val="single"/>
          <w:lang w:val="en-US" w:eastAsia="zh-CN"/>
        </w:rPr>
        <w:t>付款方式:一次性付款，先经双方验收合格，乙方提供采购货物等额的合法增值税发票给予甲方作为付款依据，甲方在收到乙方提交的等额合规增值税发票后在 10个工作日内向乙方支付货款</w:t>
      </w:r>
      <w:r>
        <w:rPr>
          <w:rFonts w:hint="eastAsia" w:ascii="宋体" w:hAnsi="宋体" w:eastAsia="宋体" w:cs="宋体"/>
          <w:color w:val="auto"/>
          <w:sz w:val="24"/>
          <w:szCs w:val="24"/>
          <w:u w:val="single"/>
        </w:rPr>
        <w:t>。</w:t>
      </w:r>
    </w:p>
    <w:p w14:paraId="794864E2">
      <w:pPr>
        <w:pStyle w:val="5"/>
        <w:spacing w:before="263" w:line="260" w:lineRule="exact"/>
        <w:ind w:left="408"/>
        <w:outlineLvl w:val="0"/>
        <w:rPr>
          <w:rFonts w:hint="eastAsia" w:ascii="宋体" w:hAnsi="宋体" w:cs="宋体"/>
          <w:color w:val="auto"/>
          <w:sz w:val="24"/>
        </w:rPr>
      </w:pPr>
      <w:r>
        <w:rPr>
          <w:rFonts w:hint="eastAsia" w:ascii="宋体" w:hAnsi="宋体" w:cs="宋体"/>
          <w:b/>
          <w:bCs/>
          <w:color w:val="auto"/>
          <w:spacing w:val="1"/>
          <w:sz w:val="24"/>
        </w:rPr>
        <w:t>四、履约保证金（如有）</w:t>
      </w:r>
    </w:p>
    <w:p w14:paraId="46381B44">
      <w:pPr>
        <w:pStyle w:val="5"/>
        <w:spacing w:before="2" w:line="260" w:lineRule="exact"/>
        <w:rPr>
          <w:rFonts w:hint="eastAsia" w:ascii="宋体" w:hAnsi="宋体" w:cs="宋体"/>
          <w:color w:val="auto"/>
          <w:sz w:val="24"/>
        </w:rPr>
      </w:pPr>
      <w:r>
        <w:rPr>
          <w:rFonts w:hint="eastAsia" w:ascii="宋体" w:hAnsi="宋体" w:cs="宋体"/>
          <w:color w:val="auto"/>
          <w:spacing w:val="3"/>
          <w:sz w:val="24"/>
        </w:rPr>
        <w:t xml:space="preserve">1、本合同签订后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
          <w:sz w:val="24"/>
        </w:rPr>
        <w:t xml:space="preserve"> 个工作日内，乙方应向甲方支付合同总价</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8"/>
          <w:sz w:val="24"/>
        </w:rPr>
        <w:t xml:space="preserve"> </w:t>
      </w:r>
      <w:r>
        <w:rPr>
          <w:rFonts w:hint="eastAsia" w:ascii="宋体" w:hAnsi="宋体" w:cs="宋体"/>
          <w:color w:val="auto"/>
          <w:spacing w:val="3"/>
          <w:sz w:val="24"/>
        </w:rPr>
        <w:t>%的履约保证金，</w:t>
      </w:r>
      <w:r>
        <w:rPr>
          <w:rFonts w:hint="eastAsia" w:ascii="宋体" w:hAnsi="宋体" w:cs="宋体"/>
          <w:color w:val="auto"/>
          <w:spacing w:val="2"/>
          <w:sz w:val="24"/>
        </w:rPr>
        <w:t>作为乙方认真履行合同条款的保证。</w:t>
      </w:r>
    </w:p>
    <w:p w14:paraId="1743FFEA">
      <w:pPr>
        <w:pStyle w:val="5"/>
        <w:spacing w:before="13" w:line="260" w:lineRule="exact"/>
        <w:ind w:right="322"/>
        <w:rPr>
          <w:rFonts w:hint="eastAsia" w:ascii="宋体" w:hAnsi="宋体" w:cs="宋体"/>
          <w:color w:val="auto"/>
          <w:sz w:val="24"/>
        </w:rPr>
      </w:pPr>
      <w:r>
        <w:rPr>
          <w:rFonts w:hint="eastAsia" w:ascii="宋体" w:hAnsi="宋体" w:cs="宋体"/>
          <w:color w:val="auto"/>
          <w:spacing w:val="4"/>
          <w:sz w:val="24"/>
        </w:rPr>
        <w:t>2、乙方没有履行本合同项下约定的责任和义务所需承担的违约金、赔偿金及其他费用，甲方有权直接从履约保证金中扣除，履约保证金中不足以</w:t>
      </w:r>
      <w:r>
        <w:rPr>
          <w:rFonts w:hint="eastAsia" w:ascii="宋体" w:hAnsi="宋体" w:cs="宋体"/>
          <w:color w:val="auto"/>
          <w:spacing w:val="9"/>
          <w:sz w:val="24"/>
        </w:rPr>
        <w:t xml:space="preserve"> </w:t>
      </w:r>
      <w:r>
        <w:rPr>
          <w:rFonts w:hint="eastAsia" w:ascii="宋体" w:hAnsi="宋体" w:cs="宋体"/>
          <w:color w:val="auto"/>
          <w:spacing w:val="4"/>
          <w:sz w:val="24"/>
        </w:rPr>
        <w:t>扣除的，甲方有权从任何一笔货款中扣除。</w:t>
      </w:r>
      <w:r>
        <w:rPr>
          <w:rFonts w:hint="eastAsia" w:ascii="宋体" w:hAnsi="宋体" w:cs="宋体"/>
          <w:color w:val="auto"/>
          <w:spacing w:val="3"/>
          <w:sz w:val="24"/>
        </w:rPr>
        <w:t xml:space="preserve">剩余履约保证金（如有）自 </w:t>
      </w:r>
      <w:r>
        <w:rPr>
          <w:rFonts w:hint="eastAsia" w:ascii="宋体" w:hAnsi="宋体" w:cs="宋体"/>
          <w:color w:val="auto"/>
          <w:spacing w:val="3"/>
          <w:sz w:val="24"/>
          <w:u w:val="single"/>
        </w:rPr>
        <w:t>合同约定的质保期届满后</w:t>
      </w:r>
      <w:r>
        <w:rPr>
          <w:rFonts w:hint="eastAsia" w:ascii="宋体" w:hAnsi="宋体" w:cs="宋体"/>
          <w:color w:val="auto"/>
          <w:spacing w:val="17"/>
          <w:sz w:val="24"/>
        </w:rPr>
        <w:t xml:space="preserve"> </w:t>
      </w:r>
      <w:r>
        <w:rPr>
          <w:rFonts w:hint="eastAsia" w:ascii="宋体" w:hAnsi="宋体" w:cs="宋体"/>
          <w:color w:val="auto"/>
          <w:spacing w:val="3"/>
          <w:sz w:val="24"/>
        </w:rPr>
        <w:t>由甲方无息返还给乙方。</w:t>
      </w:r>
    </w:p>
    <w:p w14:paraId="77C5C01C">
      <w:pPr>
        <w:pStyle w:val="5"/>
        <w:spacing w:before="1" w:line="260" w:lineRule="exact"/>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 xml:space="preserve">  </w:t>
      </w:r>
      <w:r>
        <w:rPr>
          <w:rFonts w:hint="eastAsia" w:ascii="宋体" w:hAnsi="宋体" w:cs="宋体"/>
          <w:color w:val="auto"/>
          <w:spacing w:val="4"/>
          <w:sz w:val="24"/>
          <w:u w:val="single"/>
          <w:lang w:val="en-US" w:eastAsia="zh-CN"/>
        </w:rPr>
        <w:t>无</w:t>
      </w:r>
      <w:r>
        <w:rPr>
          <w:rFonts w:hint="eastAsia" w:ascii="宋体" w:hAnsi="宋体" w:cs="宋体"/>
          <w:color w:val="auto"/>
          <w:spacing w:val="19"/>
          <w:w w:val="101"/>
          <w:sz w:val="24"/>
          <w:u w:val="single"/>
        </w:rPr>
        <w:t xml:space="preserve"> </w:t>
      </w:r>
      <w:r>
        <w:rPr>
          <w:rFonts w:hint="eastAsia" w:ascii="宋体" w:hAnsi="宋体" w:cs="宋体"/>
          <w:color w:val="auto"/>
          <w:sz w:val="24"/>
          <w:u w:val="single"/>
        </w:rPr>
        <w:t xml:space="preserve">                    </w:t>
      </w:r>
    </w:p>
    <w:p w14:paraId="2576D31C">
      <w:pPr>
        <w:pStyle w:val="5"/>
        <w:spacing w:before="243" w:line="260" w:lineRule="exact"/>
        <w:ind w:left="402"/>
        <w:outlineLvl w:val="0"/>
        <w:rPr>
          <w:rFonts w:hint="eastAsia" w:ascii="宋体" w:hAnsi="宋体" w:cs="宋体"/>
          <w:color w:val="auto"/>
          <w:sz w:val="24"/>
        </w:rPr>
      </w:pPr>
      <w:r>
        <w:rPr>
          <w:rFonts w:hint="eastAsia" w:ascii="宋体" w:hAnsi="宋体" w:cs="宋体"/>
          <w:b/>
          <w:bCs/>
          <w:color w:val="auto"/>
          <w:spacing w:val="4"/>
          <w:sz w:val="24"/>
        </w:rPr>
        <w:t>五、货物包装与交付</w:t>
      </w:r>
    </w:p>
    <w:p w14:paraId="20751722">
      <w:pPr>
        <w:pStyle w:val="5"/>
        <w:spacing w:before="29" w:line="260" w:lineRule="exact"/>
        <w:ind w:right="329"/>
        <w:rPr>
          <w:rFonts w:hint="eastAsia" w:ascii="宋体" w:hAnsi="宋体" w:cs="宋体"/>
          <w:color w:val="auto"/>
          <w:sz w:val="24"/>
        </w:rPr>
      </w:pPr>
      <w:r>
        <w:rPr>
          <w:rFonts w:hint="eastAsia" w:ascii="宋体" w:hAnsi="宋体" w:cs="宋体"/>
          <w:color w:val="auto"/>
          <w:spacing w:val="4"/>
          <w:sz w:val="24"/>
        </w:rPr>
        <w:t>1、货物的包装应适于长途运输和反复装卸，并且乙方应根据货物不同的特性和要求采取防潮、防雨、防锈、防震、防腐等保护措施</w:t>
      </w:r>
      <w:r>
        <w:rPr>
          <w:rFonts w:hint="eastAsia" w:ascii="宋体" w:hAnsi="宋体" w:cs="宋体"/>
          <w:color w:val="auto"/>
          <w:spacing w:val="3"/>
          <w:sz w:val="24"/>
        </w:rPr>
        <w:t>，以保证货物</w:t>
      </w:r>
      <w:r>
        <w:rPr>
          <w:rFonts w:hint="eastAsia" w:ascii="宋体" w:hAnsi="宋体" w:cs="宋体"/>
          <w:color w:val="auto"/>
          <w:sz w:val="24"/>
        </w:rPr>
        <w:t xml:space="preserve"> </w:t>
      </w:r>
      <w:r>
        <w:rPr>
          <w:rFonts w:hint="eastAsia" w:ascii="宋体" w:hAnsi="宋体" w:cs="宋体"/>
          <w:color w:val="auto"/>
          <w:spacing w:val="3"/>
          <w:sz w:val="24"/>
        </w:rPr>
        <w:t>安全无损地到达甲方指定地点。乙方将承担因包装不当导致交付的合同标的物受损的责任。</w:t>
      </w:r>
    </w:p>
    <w:p w14:paraId="0AAE8824">
      <w:pPr>
        <w:pStyle w:val="5"/>
        <w:spacing w:before="30" w:line="260" w:lineRule="exact"/>
        <w:ind w:right="275"/>
        <w:rPr>
          <w:rFonts w:hint="eastAsia" w:ascii="宋体" w:hAnsi="宋体" w:cs="宋体"/>
          <w:color w:val="auto"/>
          <w:sz w:val="24"/>
        </w:rPr>
      </w:pPr>
      <w:r>
        <w:rPr>
          <w:rFonts w:hint="eastAsia" w:ascii="宋体" w:hAnsi="宋体" w:cs="宋体"/>
          <w:color w:val="auto"/>
          <w:spacing w:val="3"/>
          <w:sz w:val="24"/>
        </w:rPr>
        <w:t xml:space="preserve">2、乙方在交付产品的同时需向甲方提供有关货物的附随资料，包括但不限于：   </w:t>
      </w:r>
      <w:r>
        <w:rPr>
          <w:rFonts w:hint="eastAsia" w:ascii="宋体" w:hAnsi="宋体" w:cs="宋体"/>
          <w:color w:val="auto"/>
          <w:spacing w:val="3"/>
          <w:sz w:val="24"/>
          <w:u w:val="single"/>
        </w:rPr>
        <w:t>商品目录、安装</w:t>
      </w:r>
      <w:r>
        <w:rPr>
          <w:rFonts w:hint="eastAsia" w:ascii="宋体" w:hAnsi="宋体" w:cs="宋体"/>
          <w:color w:val="auto"/>
          <w:spacing w:val="2"/>
          <w:sz w:val="24"/>
          <w:u w:val="single"/>
        </w:rPr>
        <w:t>图纸、使用说明书、质量证明及其他技术资料（如</w:t>
      </w:r>
      <w:r>
        <w:rPr>
          <w:rFonts w:hint="eastAsia" w:ascii="宋体" w:hAnsi="宋体" w:cs="宋体"/>
          <w:color w:val="auto"/>
          <w:spacing w:val="-16"/>
          <w:sz w:val="24"/>
          <w:u w:val="single"/>
        </w:rPr>
        <w:t>有）</w:t>
      </w:r>
      <w:r>
        <w:rPr>
          <w:rFonts w:hint="eastAsia" w:ascii="宋体" w:hAnsi="宋体" w:cs="宋体"/>
          <w:color w:val="auto"/>
          <w:spacing w:val="5"/>
          <w:sz w:val="24"/>
          <w:u w:val="single"/>
        </w:rPr>
        <w:t xml:space="preserve">  </w:t>
      </w:r>
      <w:r>
        <w:rPr>
          <w:rFonts w:hint="eastAsia" w:ascii="宋体" w:hAnsi="宋体" w:cs="宋体"/>
          <w:color w:val="auto"/>
          <w:spacing w:val="-16"/>
          <w:sz w:val="24"/>
        </w:rPr>
        <w:t>。</w:t>
      </w:r>
    </w:p>
    <w:p w14:paraId="2E827761">
      <w:pPr>
        <w:pStyle w:val="5"/>
        <w:spacing w:before="31" w:line="260" w:lineRule="exact"/>
        <w:rPr>
          <w:rFonts w:hint="eastAsia" w:ascii="宋体" w:hAnsi="宋体" w:cs="宋体"/>
          <w:color w:val="auto"/>
          <w:sz w:val="24"/>
        </w:rPr>
      </w:pPr>
      <w:r>
        <w:rPr>
          <w:rFonts w:hint="eastAsia" w:ascii="宋体" w:hAnsi="宋体" w:cs="宋体"/>
          <w:color w:val="auto"/>
          <w:spacing w:val="-1"/>
          <w:sz w:val="24"/>
        </w:rPr>
        <w:t xml:space="preserve">3、交货期：  </w:t>
      </w:r>
      <w:r>
        <w:rPr>
          <w:rFonts w:hint="eastAsia" w:ascii="宋体" w:hAnsi="宋体" w:cs="宋体"/>
          <w:color w:val="auto"/>
          <w:spacing w:val="-1"/>
          <w:sz w:val="24"/>
          <w:u w:val="single"/>
        </w:rPr>
        <w:t xml:space="preserve">采购合同签订后7个日历日内交货                 </w:t>
      </w:r>
    </w:p>
    <w:p w14:paraId="6F285FFC">
      <w:pPr>
        <w:pStyle w:val="5"/>
        <w:spacing w:before="31" w:line="260" w:lineRule="exact"/>
        <w:rPr>
          <w:rFonts w:hint="eastAsia" w:ascii="宋体" w:hAnsi="宋体" w:cs="宋体"/>
          <w:color w:val="auto"/>
          <w:sz w:val="24"/>
        </w:rPr>
      </w:pPr>
      <w:r>
        <w:rPr>
          <w:rFonts w:hint="eastAsia" w:ascii="宋体" w:hAnsi="宋体" w:cs="宋体"/>
          <w:color w:val="auto"/>
          <w:spacing w:val="-9"/>
          <w:sz w:val="24"/>
        </w:rPr>
        <w:t>4、交货方式：</w:t>
      </w:r>
      <w:r>
        <w:rPr>
          <w:rFonts w:hint="eastAsia" w:ascii="宋体" w:hAnsi="宋体" w:cs="宋体"/>
          <w:color w:val="auto"/>
          <w:spacing w:val="12"/>
          <w:w w:val="101"/>
          <w:sz w:val="24"/>
        </w:rPr>
        <w:t xml:space="preserve"> </w:t>
      </w:r>
      <w:r>
        <w:rPr>
          <w:rFonts w:hint="eastAsia" w:ascii="宋体" w:hAnsi="宋体" w:cs="宋体"/>
          <w:color w:val="auto"/>
          <w:spacing w:val="-9"/>
          <w:sz w:val="24"/>
          <w:u w:val="single"/>
        </w:rPr>
        <w:t xml:space="preserve"> </w:t>
      </w:r>
      <w:r>
        <w:rPr>
          <w:rFonts w:hint="eastAsia" w:ascii="宋体" w:hAnsi="宋体" w:cs="宋体"/>
          <w:color w:val="auto"/>
          <w:sz w:val="24"/>
          <w:u w:val="single"/>
        </w:rPr>
        <w:t xml:space="preserve">乙方将货物送到甲方指定地点  </w:t>
      </w:r>
    </w:p>
    <w:p w14:paraId="33149652">
      <w:pPr>
        <w:pStyle w:val="5"/>
        <w:spacing w:line="260" w:lineRule="exact"/>
        <w:rPr>
          <w:rFonts w:hint="eastAsia" w:ascii="宋体" w:hAnsi="宋体" w:cs="宋体"/>
          <w:color w:val="auto"/>
          <w:sz w:val="24"/>
          <w:u w:val="single"/>
        </w:rPr>
      </w:pPr>
      <w:r>
        <w:rPr>
          <w:rFonts w:hint="eastAsia" w:ascii="宋体" w:hAnsi="宋体" w:cs="宋体"/>
          <w:color w:val="auto"/>
          <w:spacing w:val="-5"/>
          <w:sz w:val="24"/>
        </w:rPr>
        <w:t>5、收货人：</w:t>
      </w:r>
      <w:r>
        <w:rPr>
          <w:rFonts w:hint="eastAsia" w:ascii="宋体" w:hAnsi="宋体" w:cs="宋体"/>
          <w:color w:val="auto"/>
          <w:spacing w:val="7"/>
          <w:sz w:val="24"/>
          <w:u w:val="single"/>
        </w:rPr>
        <w:t xml:space="preserve">   </w:t>
      </w:r>
      <w:r>
        <w:rPr>
          <w:rFonts w:hint="eastAsia" w:ascii="宋体" w:hAnsi="宋体" w:cs="宋体"/>
          <w:color w:val="auto"/>
          <w:spacing w:val="-5"/>
          <w:sz w:val="24"/>
          <w:u w:val="single"/>
        </w:rPr>
        <w:t xml:space="preserve">   </w:t>
      </w:r>
      <w:r>
        <w:rPr>
          <w:rFonts w:hint="eastAsia" w:ascii="宋体" w:hAnsi="宋体" w:cs="宋体"/>
          <w:color w:val="auto"/>
          <w:spacing w:val="-5"/>
          <w:sz w:val="24"/>
        </w:rPr>
        <w:t>； 联系方式：</w:t>
      </w:r>
      <w:r>
        <w:rPr>
          <w:rFonts w:hint="eastAsia" w:ascii="宋体" w:hAnsi="宋体" w:cs="宋体"/>
          <w:color w:val="auto"/>
          <w:sz w:val="24"/>
          <w:u w:val="single"/>
        </w:rPr>
        <w:t xml:space="preserve">        </w:t>
      </w:r>
    </w:p>
    <w:p w14:paraId="56CC81D3">
      <w:pPr>
        <w:pStyle w:val="5"/>
        <w:spacing w:line="260" w:lineRule="exact"/>
        <w:rPr>
          <w:rFonts w:hint="eastAsia" w:ascii="宋体" w:hAnsi="宋体" w:cs="宋体"/>
          <w:color w:val="auto"/>
          <w:sz w:val="24"/>
        </w:rPr>
      </w:pPr>
      <w:r>
        <w:rPr>
          <w:rFonts w:hint="eastAsia" w:ascii="宋体" w:hAnsi="宋体" w:cs="宋体"/>
          <w:color w:val="auto"/>
          <w:spacing w:val="1"/>
          <w:sz w:val="24"/>
        </w:rPr>
        <w:t>6、收货地址：   广西壮族自治区南宁市兴宁区朝阳街道</w:t>
      </w:r>
      <w:r>
        <w:rPr>
          <w:rFonts w:hint="eastAsia" w:ascii="宋体" w:hAnsi="宋体" w:cs="宋体"/>
          <w:color w:val="auto"/>
          <w:sz w:val="24"/>
        </w:rPr>
        <w:t>邕武路9号</w:t>
      </w:r>
    </w:p>
    <w:p w14:paraId="016631E4">
      <w:pPr>
        <w:pStyle w:val="5"/>
        <w:spacing w:before="1" w:line="260" w:lineRule="exact"/>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14:paraId="046E6870">
      <w:pPr>
        <w:pStyle w:val="5"/>
        <w:spacing w:before="241" w:line="260" w:lineRule="exact"/>
        <w:ind w:left="401"/>
        <w:outlineLvl w:val="0"/>
        <w:rPr>
          <w:rFonts w:hint="eastAsia" w:ascii="宋体" w:hAnsi="宋体" w:cs="宋体"/>
          <w:color w:val="auto"/>
          <w:sz w:val="24"/>
        </w:rPr>
      </w:pPr>
      <w:r>
        <w:rPr>
          <w:rFonts w:hint="eastAsia" w:ascii="宋体" w:hAnsi="宋体" w:cs="宋体"/>
          <w:b/>
          <w:bCs/>
          <w:color w:val="auto"/>
          <w:spacing w:val="4"/>
          <w:sz w:val="24"/>
        </w:rPr>
        <w:t>六、安装与验收</w:t>
      </w:r>
    </w:p>
    <w:p w14:paraId="777425AF">
      <w:pPr>
        <w:pStyle w:val="5"/>
        <w:spacing w:before="30" w:line="260" w:lineRule="exact"/>
        <w:ind w:right="479"/>
        <w:rPr>
          <w:rFonts w:hint="eastAsia" w:ascii="宋体" w:hAnsi="宋体" w:cs="宋体"/>
          <w:color w:val="auto"/>
          <w:sz w:val="24"/>
        </w:rPr>
      </w:pPr>
      <w:r>
        <w:rPr>
          <w:rFonts w:hint="eastAsia" w:ascii="宋体" w:hAnsi="宋体" w:cs="宋体"/>
          <w:color w:val="auto"/>
          <w:spacing w:val="4"/>
          <w:sz w:val="24"/>
        </w:rPr>
        <w:t>1、安装调试（如有）：乙方负责在甲方指定的时间内，按照甲方的要求完成货物的安装调试。乙方应严格遵守安全法律法规，采取安全</w:t>
      </w:r>
      <w:r>
        <w:rPr>
          <w:rFonts w:hint="eastAsia" w:ascii="宋体" w:hAnsi="宋体" w:cs="宋体"/>
          <w:color w:val="auto"/>
          <w:spacing w:val="3"/>
          <w:sz w:val="24"/>
        </w:rPr>
        <w:t>保障措</w:t>
      </w:r>
      <w:r>
        <w:rPr>
          <w:rFonts w:hint="eastAsia" w:ascii="宋体" w:hAnsi="宋体" w:cs="宋体"/>
          <w:color w:val="auto"/>
          <w:spacing w:val="1"/>
          <w:sz w:val="24"/>
        </w:rPr>
        <w:t xml:space="preserve"> </w:t>
      </w:r>
      <w:r>
        <w:rPr>
          <w:rFonts w:hint="eastAsia" w:ascii="宋体" w:hAnsi="宋体" w:cs="宋体"/>
          <w:color w:val="auto"/>
          <w:spacing w:val="3"/>
          <w:sz w:val="24"/>
        </w:rPr>
        <w:t>施，保证人员安全。因乙方原因造成的人员伤亡和财产损失，均由乙方承担。</w:t>
      </w:r>
    </w:p>
    <w:p w14:paraId="4B57F317">
      <w:pPr>
        <w:pStyle w:val="5"/>
        <w:spacing w:before="30" w:line="260" w:lineRule="exact"/>
        <w:ind w:right="317"/>
        <w:rPr>
          <w:rFonts w:hint="eastAsia" w:ascii="宋体" w:hAnsi="宋体" w:cs="宋体"/>
          <w:color w:val="auto"/>
          <w:sz w:val="24"/>
        </w:rPr>
      </w:pPr>
      <w:r>
        <w:rPr>
          <w:rFonts w:hint="eastAsia" w:ascii="宋体" w:hAnsi="宋体" w:cs="宋体"/>
          <w:color w:val="auto"/>
          <w:spacing w:val="4"/>
          <w:sz w:val="24"/>
        </w:rPr>
        <w:t xml:space="preserve">2、验收标准：详见《广西壮族自治区  广西壮族自治区预算单位“政采云”电子卖场网上超市一张网供应商征集入围项目-  </w:t>
      </w:r>
      <w:r>
        <w:rPr>
          <w:rFonts w:hint="eastAsia" w:ascii="宋体" w:hAnsi="宋体" w:cs="宋体"/>
          <w:color w:val="auto"/>
          <w:spacing w:val="3"/>
          <w:sz w:val="24"/>
        </w:rPr>
        <w:t xml:space="preserve">  电子卖场（网上超市）项目协议书》约定的验收标准或质量要求；</w:t>
      </w:r>
    </w:p>
    <w:p w14:paraId="4BC231F4">
      <w:pPr>
        <w:pStyle w:val="5"/>
        <w:spacing w:before="29" w:line="260" w:lineRule="exact"/>
        <w:ind w:right="208"/>
        <w:rPr>
          <w:rFonts w:hint="eastAsia" w:ascii="宋体" w:hAnsi="宋体" w:cs="宋体"/>
          <w:color w:val="auto"/>
          <w:sz w:val="24"/>
        </w:rPr>
      </w:pPr>
      <w:r>
        <w:rPr>
          <w:rFonts w:hint="eastAsia" w:ascii="宋体" w:hAnsi="宋体" w:cs="宋体"/>
          <w:color w:val="auto"/>
          <w:spacing w:val="4"/>
          <w:sz w:val="24"/>
        </w:rPr>
        <w:t>3、到货验收：甲方应在收到货物后</w:t>
      </w:r>
      <w:r>
        <w:rPr>
          <w:rFonts w:hint="eastAsia" w:ascii="宋体" w:hAnsi="宋体" w:cs="宋体"/>
          <w:color w:val="auto"/>
          <w:spacing w:val="4"/>
          <w:sz w:val="24"/>
          <w:u w:val="single"/>
        </w:rPr>
        <w:t>2</w:t>
      </w:r>
      <w:r>
        <w:rPr>
          <w:rFonts w:hint="eastAsia" w:ascii="宋体" w:hAnsi="宋体" w:cs="宋体"/>
          <w:color w:val="auto"/>
          <w:spacing w:val="17"/>
          <w:sz w:val="24"/>
          <w:u w:val="single"/>
        </w:rPr>
        <w:t xml:space="preserve"> </w:t>
      </w:r>
      <w:r>
        <w:rPr>
          <w:rFonts w:hint="eastAsia" w:ascii="宋体" w:hAnsi="宋体" w:cs="宋体"/>
          <w:color w:val="auto"/>
          <w:spacing w:val="4"/>
          <w:sz w:val="24"/>
        </w:rPr>
        <w:t>个工作日内进行到货验收。甲方仅对产品的数量和外观进行检验，并不因此减轻或免除乙方所应承担的质量</w:t>
      </w:r>
      <w:r>
        <w:rPr>
          <w:rFonts w:hint="eastAsia" w:ascii="宋体" w:hAnsi="宋体" w:cs="宋体"/>
          <w:color w:val="auto"/>
          <w:spacing w:val="1"/>
          <w:sz w:val="24"/>
        </w:rPr>
        <w:t xml:space="preserve"> </w:t>
      </w:r>
      <w:r>
        <w:rPr>
          <w:rFonts w:hint="eastAsia" w:ascii="宋体" w:hAnsi="宋体" w:cs="宋体"/>
          <w:color w:val="auto"/>
          <w:spacing w:val="-2"/>
          <w:sz w:val="24"/>
        </w:rPr>
        <w:t>保证责任。</w:t>
      </w:r>
    </w:p>
    <w:p w14:paraId="67D5080C">
      <w:pPr>
        <w:pStyle w:val="5"/>
        <w:spacing w:before="31" w:line="260" w:lineRule="exact"/>
        <w:rPr>
          <w:rFonts w:hint="eastAsia" w:ascii="宋体" w:hAnsi="宋体" w:cs="宋体"/>
          <w:color w:val="auto"/>
          <w:sz w:val="24"/>
        </w:rPr>
      </w:pPr>
      <w:r>
        <w:rPr>
          <w:rFonts w:hint="eastAsia" w:ascii="宋体" w:hAnsi="宋体" w:cs="宋体"/>
          <w:color w:val="auto"/>
          <w:spacing w:val="4"/>
          <w:sz w:val="24"/>
        </w:rPr>
        <w:t>4、最终验收（如有</w:t>
      </w:r>
      <w:r>
        <w:rPr>
          <w:rFonts w:hint="eastAsia" w:ascii="宋体" w:hAnsi="宋体" w:cs="宋体"/>
          <w:color w:val="auto"/>
          <w:spacing w:val="3"/>
          <w:sz w:val="24"/>
        </w:rPr>
        <w:t>）：</w:t>
      </w:r>
      <w:r>
        <w:rPr>
          <w:rFonts w:hint="eastAsia" w:ascii="宋体" w:hAnsi="宋体" w:cs="宋体"/>
          <w:color w:val="auto"/>
          <w:spacing w:val="4"/>
          <w:sz w:val="24"/>
        </w:rPr>
        <w:t>安装调测完毕后，乙方应配合甲方进行最终</w:t>
      </w:r>
      <w:r>
        <w:rPr>
          <w:rFonts w:hint="eastAsia" w:ascii="宋体" w:hAnsi="宋体" w:cs="宋体"/>
          <w:color w:val="auto"/>
          <w:spacing w:val="3"/>
          <w:sz w:val="24"/>
        </w:rPr>
        <w:t>验收，验收结果以甲方签署的验收证明为准。</w:t>
      </w:r>
    </w:p>
    <w:p w14:paraId="4BC18D36">
      <w:pPr>
        <w:pStyle w:val="5"/>
        <w:spacing w:line="260" w:lineRule="exact"/>
        <w:rPr>
          <w:rFonts w:hint="eastAsia" w:ascii="宋体" w:hAnsi="宋体" w:cs="宋体"/>
          <w:color w:val="auto"/>
          <w:sz w:val="24"/>
          <w:u w:val="single"/>
        </w:rPr>
      </w:pPr>
      <w:r>
        <w:rPr>
          <w:rFonts w:hint="eastAsia" w:ascii="宋体" w:hAnsi="宋体" w:cs="宋体"/>
          <w:color w:val="auto"/>
          <w:spacing w:val="-3"/>
          <w:sz w:val="24"/>
        </w:rPr>
        <w:t>5、</w:t>
      </w:r>
      <w:r>
        <w:rPr>
          <w:rFonts w:hint="eastAsia" w:ascii="宋体" w:hAnsi="宋体" w:cs="宋体"/>
          <w:color w:val="auto"/>
          <w:spacing w:val="15"/>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pacing w:val="-3"/>
          <w:sz w:val="24"/>
          <w:u w:val="single"/>
        </w:rPr>
        <w:t xml:space="preserve"> </w:t>
      </w:r>
    </w:p>
    <w:p w14:paraId="36C27CB0">
      <w:pPr>
        <w:pStyle w:val="5"/>
        <w:spacing w:before="246" w:line="260" w:lineRule="exact"/>
        <w:ind w:left="402"/>
        <w:outlineLvl w:val="0"/>
        <w:rPr>
          <w:rFonts w:hint="eastAsia" w:ascii="宋体" w:hAnsi="宋体" w:cs="宋体"/>
          <w:color w:val="auto"/>
          <w:sz w:val="24"/>
        </w:rPr>
      </w:pPr>
      <w:r>
        <w:rPr>
          <w:rFonts w:hint="eastAsia" w:ascii="宋体" w:hAnsi="宋体" w:cs="宋体"/>
          <w:b/>
          <w:bCs/>
          <w:color w:val="auto"/>
          <w:spacing w:val="3"/>
          <w:sz w:val="24"/>
        </w:rPr>
        <w:t>七、保修与售后服务</w:t>
      </w:r>
    </w:p>
    <w:p w14:paraId="4FAA0603">
      <w:pPr>
        <w:pStyle w:val="5"/>
        <w:spacing w:before="31" w:line="260" w:lineRule="exact"/>
        <w:rPr>
          <w:rFonts w:hint="eastAsia" w:ascii="宋体" w:hAnsi="宋体" w:cs="宋体"/>
          <w:color w:val="auto"/>
          <w:sz w:val="24"/>
        </w:rPr>
      </w:pPr>
      <w:r>
        <w:rPr>
          <w:rFonts w:hint="eastAsia" w:ascii="宋体" w:hAnsi="宋体" w:cs="宋体"/>
          <w:color w:val="auto"/>
          <w:spacing w:val="3"/>
          <w:sz w:val="24"/>
        </w:rPr>
        <w:t>1、货物质保期为</w:t>
      </w:r>
      <w:r>
        <w:rPr>
          <w:rFonts w:hint="eastAsia" w:ascii="宋体" w:hAnsi="宋体" w:cs="宋体"/>
          <w:color w:val="auto"/>
          <w:spacing w:val="19"/>
          <w:w w:val="101"/>
          <w:sz w:val="24"/>
          <w:u w:val="single"/>
        </w:rPr>
        <w:t xml:space="preserve"> </w:t>
      </w:r>
      <w:r>
        <w:rPr>
          <w:rFonts w:hint="eastAsia" w:ascii="宋体" w:hAnsi="宋体" w:cs="宋体"/>
          <w:color w:val="auto"/>
          <w:spacing w:val="19"/>
          <w:w w:val="101"/>
          <w:sz w:val="24"/>
          <w:u w:val="single"/>
          <w:lang w:val="en-US" w:eastAsia="zh-CN"/>
        </w:rPr>
        <w:t>24</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rPr>
        <w:t>月</w:t>
      </w:r>
      <w:r>
        <w:rPr>
          <w:rFonts w:hint="eastAsia" w:ascii="宋体" w:hAnsi="宋体" w:cs="宋体"/>
          <w:color w:val="auto"/>
          <w:spacing w:val="12"/>
          <w:w w:val="102"/>
          <w:sz w:val="24"/>
        </w:rPr>
        <w:t xml:space="preserve">  </w:t>
      </w:r>
      <w:r>
        <w:rPr>
          <w:rFonts w:hint="eastAsia" w:ascii="宋体" w:hAnsi="宋体" w:cs="宋体"/>
          <w:color w:val="auto"/>
          <w:spacing w:val="3"/>
          <w:sz w:val="24"/>
        </w:rPr>
        <w:t xml:space="preserve">，自  </w:t>
      </w:r>
      <w:r>
        <w:rPr>
          <w:rFonts w:hint="eastAsia" w:ascii="宋体" w:hAnsi="宋体" w:cs="宋体"/>
          <w:color w:val="auto"/>
          <w:spacing w:val="3"/>
          <w:sz w:val="24"/>
          <w:u w:val="single"/>
        </w:rPr>
        <w:t>到货验收合格或</w:t>
      </w:r>
      <w:r>
        <w:rPr>
          <w:rFonts w:hint="eastAsia" w:ascii="宋体" w:hAnsi="宋体" w:cs="宋体"/>
          <w:color w:val="auto"/>
          <w:spacing w:val="2"/>
          <w:sz w:val="24"/>
          <w:u w:val="single"/>
        </w:rPr>
        <w:t>最终验收合格</w:t>
      </w:r>
      <w:r>
        <w:rPr>
          <w:rFonts w:hint="eastAsia" w:ascii="宋体" w:hAnsi="宋体" w:cs="宋体"/>
          <w:color w:val="auto"/>
          <w:spacing w:val="2"/>
          <w:sz w:val="24"/>
        </w:rPr>
        <w:t xml:space="preserve"> 之日起至质保期届满且经甲方确认无任何质量问题时止。</w:t>
      </w:r>
    </w:p>
    <w:p w14:paraId="1643444D">
      <w:pPr>
        <w:pStyle w:val="5"/>
        <w:spacing w:before="3" w:line="260" w:lineRule="exact"/>
        <w:rPr>
          <w:rFonts w:hint="eastAsia" w:ascii="宋体" w:hAnsi="宋体" w:cs="宋体"/>
          <w:color w:val="auto"/>
          <w:sz w:val="24"/>
        </w:rPr>
      </w:pPr>
      <w:r>
        <w:rPr>
          <w:rFonts w:hint="eastAsia" w:ascii="宋体" w:hAnsi="宋体" w:cs="宋体"/>
          <w:color w:val="auto"/>
          <w:spacing w:val="2"/>
          <w:sz w:val="24"/>
        </w:rPr>
        <w:t>2、乙方承诺所售商品，自甲方收到商品之日起</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 xml:space="preserve">  </w:t>
      </w:r>
      <w:r>
        <w:rPr>
          <w:rFonts w:hint="eastAsia" w:ascii="宋体" w:hAnsi="宋体" w:cs="宋体"/>
          <w:color w:val="auto"/>
          <w:spacing w:val="2"/>
          <w:sz w:val="24"/>
        </w:rPr>
        <w:t>日内可以无理由退货，</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2</w:t>
      </w:r>
      <w:r>
        <w:rPr>
          <w:rFonts w:hint="eastAsia" w:ascii="宋体" w:hAnsi="宋体" w:cs="宋体"/>
          <w:color w:val="auto"/>
          <w:spacing w:val="2"/>
          <w:sz w:val="24"/>
          <w:u w:val="single"/>
        </w:rPr>
        <w:t xml:space="preserve">  </w:t>
      </w:r>
      <w:r>
        <w:rPr>
          <w:rFonts w:hint="eastAsia" w:ascii="宋体" w:hAnsi="宋体" w:cs="宋体"/>
          <w:color w:val="auto"/>
          <w:spacing w:val="2"/>
          <w:sz w:val="24"/>
        </w:rPr>
        <w:t>日</w:t>
      </w:r>
      <w:r>
        <w:rPr>
          <w:rFonts w:hint="eastAsia" w:ascii="宋体" w:hAnsi="宋体" w:cs="宋体"/>
          <w:color w:val="auto"/>
          <w:spacing w:val="1"/>
          <w:sz w:val="24"/>
        </w:rPr>
        <w:t>内可以换货。更换后的货物质保期应重新计算。</w:t>
      </w:r>
    </w:p>
    <w:p w14:paraId="62F7D384">
      <w:pPr>
        <w:pStyle w:val="5"/>
        <w:spacing w:before="12" w:line="260" w:lineRule="exact"/>
        <w:ind w:right="278"/>
        <w:rPr>
          <w:rFonts w:hint="eastAsia" w:ascii="宋体" w:hAnsi="宋体" w:cs="宋体"/>
          <w:color w:val="auto"/>
          <w:sz w:val="24"/>
        </w:rPr>
      </w:pPr>
      <w:r>
        <w:rPr>
          <w:rFonts w:hint="eastAsia" w:ascii="宋体" w:hAnsi="宋体" w:cs="宋体"/>
          <w:color w:val="auto"/>
          <w:spacing w:val="3"/>
          <w:sz w:val="24"/>
        </w:rPr>
        <w:t xml:space="preserve">3、质保期内，乙方应当提供 </w:t>
      </w:r>
      <w:r>
        <w:rPr>
          <w:rFonts w:hint="eastAsia" w:ascii="宋体" w:hAnsi="宋体" w:cs="宋体"/>
          <w:color w:val="auto"/>
          <w:spacing w:val="3"/>
          <w:sz w:val="24"/>
          <w:u w:val="single"/>
        </w:rPr>
        <w:t>7×24</w:t>
      </w:r>
      <w:r>
        <w:rPr>
          <w:rFonts w:hint="eastAsia" w:ascii="宋体" w:hAnsi="宋体" w:cs="宋体"/>
          <w:color w:val="auto"/>
          <w:position w:val="-2"/>
          <w:sz w:val="24"/>
        </w:rPr>
        <w:drawing>
          <wp:inline distT="0" distB="0" distL="114300" distR="114300">
            <wp:extent cx="2921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29210" cy="6985"/>
                    </a:xfrm>
                    <a:prstGeom prst="rect">
                      <a:avLst/>
                    </a:prstGeom>
                    <a:noFill/>
                    <a:ln>
                      <a:noFill/>
                    </a:ln>
                  </pic:spPr>
                </pic:pic>
              </a:graphicData>
            </a:graphic>
          </wp:inline>
        </w:drawing>
      </w:r>
      <w:r>
        <w:rPr>
          <w:rFonts w:hint="eastAsia" w:ascii="宋体" w:hAnsi="宋体" w:cs="宋体"/>
          <w:color w:val="auto"/>
          <w:spacing w:val="3"/>
          <w:sz w:val="24"/>
        </w:rPr>
        <w:t>小时电</w:t>
      </w:r>
      <w:r>
        <w:rPr>
          <w:rFonts w:hint="eastAsia" w:ascii="宋体" w:hAnsi="宋体" w:cs="宋体"/>
          <w:color w:val="auto"/>
          <w:spacing w:val="2"/>
          <w:sz w:val="24"/>
        </w:rPr>
        <w:t>话支持服务。乙方接到甲方保修通知后</w:t>
      </w:r>
      <w:r>
        <w:rPr>
          <w:rFonts w:hint="eastAsia" w:ascii="宋体" w:hAnsi="宋体" w:cs="宋体"/>
          <w:color w:val="auto"/>
          <w:spacing w:val="2"/>
          <w:sz w:val="24"/>
          <w:u w:val="single"/>
        </w:rPr>
        <w:t xml:space="preserve">6    </w:t>
      </w:r>
      <w:r>
        <w:rPr>
          <w:rFonts w:hint="eastAsia" w:ascii="宋体" w:hAnsi="宋体" w:cs="宋体"/>
          <w:color w:val="auto"/>
          <w:spacing w:val="2"/>
          <w:sz w:val="24"/>
        </w:rPr>
        <w:t>个小时内响应，</w:t>
      </w:r>
      <w:r>
        <w:rPr>
          <w:rFonts w:hint="eastAsia" w:ascii="宋体" w:hAnsi="宋体" w:cs="宋体"/>
          <w:color w:val="auto"/>
          <w:spacing w:val="2"/>
          <w:sz w:val="24"/>
          <w:u w:val="single"/>
        </w:rPr>
        <w:t xml:space="preserve">12   </w:t>
      </w:r>
      <w:r>
        <w:rPr>
          <w:rFonts w:hint="eastAsia" w:ascii="宋体" w:hAnsi="宋体" w:cs="宋体"/>
          <w:color w:val="auto"/>
          <w:spacing w:val="2"/>
          <w:sz w:val="24"/>
        </w:rPr>
        <w:t>个小时内排除故障。对于质保期内不能</w:t>
      </w:r>
      <w:r>
        <w:rPr>
          <w:rFonts w:hint="eastAsia" w:ascii="宋体" w:hAnsi="宋体" w:cs="宋体"/>
          <w:color w:val="auto"/>
          <w:sz w:val="24"/>
        </w:rPr>
        <w:t xml:space="preserve"> </w:t>
      </w:r>
      <w:r>
        <w:rPr>
          <w:rFonts w:hint="eastAsia" w:ascii="宋体" w:hAnsi="宋体" w:cs="宋体"/>
          <w:color w:val="auto"/>
          <w:spacing w:val="3"/>
          <w:sz w:val="24"/>
        </w:rPr>
        <w:t xml:space="preserve">修复的产品/部件，乙方应在 </w:t>
      </w:r>
      <w:r>
        <w:rPr>
          <w:rFonts w:hint="eastAsia" w:ascii="宋体" w:hAnsi="宋体" w:cs="宋体"/>
          <w:color w:val="auto"/>
          <w:spacing w:val="3"/>
          <w:sz w:val="24"/>
          <w:u w:val="single"/>
        </w:rPr>
        <w:t>24</w:t>
      </w:r>
      <w:r>
        <w:rPr>
          <w:rFonts w:hint="eastAsia" w:ascii="宋体" w:hAnsi="宋体" w:cs="宋体"/>
          <w:color w:val="auto"/>
          <w:spacing w:val="10"/>
          <w:sz w:val="24"/>
          <w:u w:val="single"/>
        </w:rPr>
        <w:t xml:space="preserve">   </w:t>
      </w:r>
      <w:r>
        <w:rPr>
          <w:rFonts w:hint="eastAsia" w:ascii="宋体" w:hAnsi="宋体" w:cs="宋体"/>
          <w:color w:val="auto"/>
          <w:spacing w:val="3"/>
          <w:sz w:val="24"/>
        </w:rPr>
        <w:t>个</w:t>
      </w:r>
      <w:r>
        <w:rPr>
          <w:rFonts w:hint="eastAsia" w:ascii="宋体" w:hAnsi="宋体" w:cs="宋体"/>
          <w:color w:val="auto"/>
          <w:spacing w:val="2"/>
          <w:sz w:val="24"/>
        </w:rPr>
        <w:t>小时内免费更换备品备件。</w:t>
      </w:r>
    </w:p>
    <w:p w14:paraId="051CDB00">
      <w:pPr>
        <w:pStyle w:val="5"/>
        <w:spacing w:before="30" w:line="260" w:lineRule="exact"/>
        <w:rPr>
          <w:rFonts w:hint="eastAsia" w:ascii="宋体" w:hAnsi="宋体" w:cs="宋体"/>
          <w:color w:val="auto"/>
          <w:sz w:val="24"/>
        </w:rPr>
      </w:pPr>
      <w:r>
        <w:rPr>
          <w:rFonts w:hint="eastAsia" w:ascii="宋体" w:hAnsi="宋体" w:cs="宋体"/>
          <w:color w:val="auto"/>
          <w:spacing w:val="4"/>
          <w:sz w:val="24"/>
        </w:rPr>
        <w:t>4、质保期届满后，乙方对本合同项下货物提供终身维修服务，且维修时只收取所需维修部件的成本费，服务内容应与质保期内的要</w:t>
      </w:r>
      <w:r>
        <w:rPr>
          <w:rFonts w:hint="eastAsia" w:ascii="宋体" w:hAnsi="宋体" w:cs="宋体"/>
          <w:color w:val="auto"/>
          <w:spacing w:val="3"/>
          <w:sz w:val="24"/>
        </w:rPr>
        <w:t>求相一致。</w:t>
      </w:r>
    </w:p>
    <w:p w14:paraId="70451504">
      <w:pPr>
        <w:pStyle w:val="5"/>
        <w:spacing w:before="1" w:line="260" w:lineRule="exact"/>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14:paraId="47B96D2C">
      <w:pPr>
        <w:pStyle w:val="5"/>
        <w:spacing w:before="243" w:line="260" w:lineRule="exact"/>
        <w:ind w:left="399"/>
        <w:outlineLvl w:val="0"/>
        <w:rPr>
          <w:rFonts w:hint="eastAsia" w:ascii="宋体" w:hAnsi="宋体" w:cs="宋体"/>
          <w:color w:val="auto"/>
          <w:sz w:val="24"/>
        </w:rPr>
      </w:pPr>
      <w:r>
        <w:rPr>
          <w:rFonts w:hint="eastAsia" w:ascii="宋体" w:hAnsi="宋体" w:cs="宋体"/>
          <w:b/>
          <w:bCs/>
          <w:color w:val="auto"/>
          <w:spacing w:val="4"/>
          <w:sz w:val="24"/>
        </w:rPr>
        <w:t>八、知识产权及其他民事权利的保护</w:t>
      </w:r>
    </w:p>
    <w:p w14:paraId="4B293BFE">
      <w:pPr>
        <w:pStyle w:val="5"/>
        <w:spacing w:before="30" w:line="260" w:lineRule="exact"/>
        <w:ind w:right="322"/>
        <w:rPr>
          <w:rFonts w:hint="eastAsia" w:ascii="宋体" w:hAnsi="宋体" w:cs="宋体"/>
          <w:color w:val="auto"/>
          <w:sz w:val="24"/>
        </w:rPr>
      </w:pPr>
      <w:r>
        <w:rPr>
          <w:rFonts w:hint="eastAsia" w:ascii="宋体" w:hAnsi="宋体" w:cs="宋体"/>
          <w:color w:val="auto"/>
          <w:spacing w:val="4"/>
          <w:sz w:val="24"/>
        </w:rPr>
        <w:t>1、乙方保证向甲方交付的货物、软件、技术资料等，不会侵犯任何第三人的专利权、著作权、商标权、商业秘密、其他知识产权或者其他民事权</w:t>
      </w:r>
      <w:r>
        <w:rPr>
          <w:rFonts w:hint="eastAsia" w:ascii="宋体" w:hAnsi="宋体" w:cs="宋体"/>
          <w:color w:val="auto"/>
          <w:sz w:val="24"/>
        </w:rPr>
        <w:t xml:space="preserve"> </w:t>
      </w:r>
      <w:r>
        <w:rPr>
          <w:rFonts w:hint="eastAsia" w:ascii="宋体" w:hAnsi="宋体" w:cs="宋体"/>
          <w:color w:val="auto"/>
          <w:spacing w:val="4"/>
          <w:sz w:val="24"/>
        </w:rPr>
        <w:t>利。如乙方违反上述规定，则乙方应负责消除甲方拥有并使用乙方交付的货物、软件、技术资料等所存在的全部法</w:t>
      </w:r>
      <w:r>
        <w:rPr>
          <w:rFonts w:hint="eastAsia" w:ascii="宋体" w:hAnsi="宋体" w:cs="宋体"/>
          <w:color w:val="auto"/>
          <w:spacing w:val="3"/>
          <w:sz w:val="24"/>
        </w:rPr>
        <w:t>律障碍，并赔偿甲方的损失。</w:t>
      </w:r>
    </w:p>
    <w:p w14:paraId="526DAEB0">
      <w:pPr>
        <w:pStyle w:val="5"/>
        <w:spacing w:before="1" w:line="260" w:lineRule="exac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14:paraId="56EC688A">
      <w:pPr>
        <w:pStyle w:val="5"/>
        <w:spacing w:before="243" w:line="260" w:lineRule="exact"/>
        <w:ind w:left="401"/>
        <w:outlineLvl w:val="0"/>
        <w:rPr>
          <w:rFonts w:hint="eastAsia" w:ascii="宋体" w:hAnsi="宋体" w:cs="宋体"/>
          <w:color w:val="auto"/>
          <w:sz w:val="24"/>
        </w:rPr>
      </w:pPr>
      <w:r>
        <w:rPr>
          <w:rFonts w:hint="eastAsia" w:ascii="宋体" w:hAnsi="宋体" w:cs="宋体"/>
          <w:b/>
          <w:bCs/>
          <w:color w:val="auto"/>
          <w:spacing w:val="3"/>
          <w:sz w:val="24"/>
        </w:rPr>
        <w:t>九、违约责任</w:t>
      </w:r>
    </w:p>
    <w:p w14:paraId="28B36E4E">
      <w:pPr>
        <w:pStyle w:val="5"/>
        <w:spacing w:before="29" w:line="260" w:lineRule="exact"/>
        <w:ind w:right="223"/>
        <w:rPr>
          <w:rFonts w:hint="eastAsia" w:ascii="宋体" w:hAnsi="宋体" w:cs="宋体"/>
          <w:color w:val="auto"/>
          <w:sz w:val="24"/>
          <w:highlight w:val="none"/>
        </w:rPr>
      </w:pPr>
      <w:r>
        <w:rPr>
          <w:rFonts w:hint="eastAsia" w:ascii="宋体" w:hAnsi="宋体" w:cs="宋体"/>
          <w:color w:val="auto"/>
          <w:spacing w:val="5"/>
          <w:sz w:val="24"/>
        </w:rPr>
        <w:t>1、甲方逾期支付（申请支付）货款的，自逾</w:t>
      </w:r>
      <w:r>
        <w:rPr>
          <w:rFonts w:hint="eastAsia" w:ascii="宋体" w:hAnsi="宋体" w:cs="宋体"/>
          <w:color w:val="auto"/>
          <w:spacing w:val="4"/>
          <w:sz w:val="24"/>
        </w:rPr>
        <w:t>期之日起，向乙方每日偿付合同总价</w:t>
      </w:r>
      <w:r>
        <w:rPr>
          <w:rFonts w:hint="eastAsia" w:ascii="宋体" w:hAnsi="宋体" w:cs="宋体"/>
          <w:color w:val="auto"/>
          <w:spacing w:val="4"/>
          <w:sz w:val="24"/>
          <w:u w:val="single"/>
        </w:rPr>
        <w:t xml:space="preserve">5   </w:t>
      </w:r>
      <w:r>
        <w:rPr>
          <w:rFonts w:hint="eastAsia" w:ascii="宋体" w:hAnsi="宋体" w:cs="宋体"/>
          <w:color w:val="auto"/>
          <w:spacing w:val="4"/>
          <w:sz w:val="24"/>
        </w:rPr>
        <w:t>‰的违约金；甲方无正当理由拒付货款的，应向乙方偿付合</w:t>
      </w:r>
      <w:r>
        <w:rPr>
          <w:rFonts w:hint="eastAsia" w:ascii="宋体" w:hAnsi="宋体" w:cs="宋体"/>
          <w:color w:val="auto"/>
          <w:sz w:val="24"/>
        </w:rPr>
        <w:t xml:space="preserve"> </w:t>
      </w:r>
      <w:r>
        <w:rPr>
          <w:rFonts w:hint="eastAsia" w:ascii="宋体" w:hAnsi="宋体" w:cs="宋体"/>
          <w:color w:val="auto"/>
          <w:spacing w:val="-1"/>
          <w:sz w:val="24"/>
        </w:rPr>
        <w:t>同总</w:t>
      </w:r>
      <w:r>
        <w:rPr>
          <w:rFonts w:hint="eastAsia" w:ascii="宋体" w:hAnsi="宋体" w:cs="宋体"/>
          <w:color w:val="auto"/>
          <w:spacing w:val="-1"/>
          <w:sz w:val="24"/>
          <w:highlight w:val="none"/>
        </w:rPr>
        <w:t>价</w:t>
      </w:r>
      <w:r>
        <w:rPr>
          <w:rFonts w:hint="eastAsia" w:ascii="宋体" w:hAnsi="宋体" w:cs="宋体"/>
          <w:color w:val="auto"/>
          <w:spacing w:val="-1"/>
          <w:sz w:val="24"/>
          <w:highlight w:val="none"/>
          <w:u w:val="single"/>
        </w:rPr>
        <w:t>30</w:t>
      </w:r>
      <w:r>
        <w:rPr>
          <w:rFonts w:hint="eastAsia" w:ascii="宋体" w:hAnsi="宋体" w:cs="宋体"/>
          <w:color w:val="auto"/>
          <w:spacing w:val="12"/>
          <w:sz w:val="24"/>
          <w:highlight w:val="none"/>
          <w:u w:val="single"/>
        </w:rPr>
        <w:t xml:space="preserve">  </w:t>
      </w:r>
      <w:r>
        <w:rPr>
          <w:rFonts w:hint="eastAsia" w:ascii="宋体" w:hAnsi="宋体" w:cs="宋体"/>
          <w:color w:val="auto"/>
          <w:spacing w:val="-1"/>
          <w:sz w:val="24"/>
          <w:highlight w:val="none"/>
        </w:rPr>
        <w:t>%的违约金。</w:t>
      </w:r>
    </w:p>
    <w:p w14:paraId="734199A4">
      <w:pPr>
        <w:pStyle w:val="5"/>
        <w:spacing w:before="30" w:line="260" w:lineRule="exact"/>
        <w:ind w:right="232"/>
        <w:rPr>
          <w:rFonts w:hint="eastAsia" w:ascii="宋体" w:hAnsi="宋体" w:cs="宋体"/>
          <w:color w:val="auto"/>
          <w:sz w:val="24"/>
          <w:highlight w:val="none"/>
        </w:rPr>
      </w:pPr>
      <w:r>
        <w:rPr>
          <w:rFonts w:hint="eastAsia" w:ascii="宋体" w:hAnsi="宋体" w:cs="宋体"/>
          <w:color w:val="auto"/>
          <w:spacing w:val="3"/>
          <w:sz w:val="24"/>
          <w:highlight w:val="none"/>
        </w:rPr>
        <w:t>2、乙方逾期供货的，自逾期之日起，向甲方每日偿付合同总价</w:t>
      </w:r>
      <w:r>
        <w:rPr>
          <w:rFonts w:hint="eastAsia" w:ascii="宋体" w:hAnsi="宋体" w:cs="宋体"/>
          <w:color w:val="auto"/>
          <w:spacing w:val="3"/>
          <w:sz w:val="24"/>
          <w:highlight w:val="none"/>
          <w:u w:val="single"/>
        </w:rPr>
        <w:t xml:space="preserve">5   </w:t>
      </w:r>
      <w:r>
        <w:rPr>
          <w:rFonts w:hint="eastAsia" w:ascii="宋体" w:hAnsi="宋体" w:cs="宋体"/>
          <w:color w:val="auto"/>
          <w:spacing w:val="4"/>
          <w:sz w:val="24"/>
          <w:highlight w:val="none"/>
        </w:rPr>
        <w:t>‰</w:t>
      </w:r>
      <w:r>
        <w:rPr>
          <w:rFonts w:hint="eastAsia" w:ascii="宋体" w:hAnsi="宋体" w:cs="宋体"/>
          <w:color w:val="auto"/>
          <w:spacing w:val="3"/>
          <w:sz w:val="24"/>
          <w:highlight w:val="none"/>
        </w:rPr>
        <w:t>的违约金；乙方逾期</w:t>
      </w:r>
      <w:r>
        <w:rPr>
          <w:rFonts w:hint="eastAsia" w:ascii="宋体" w:hAnsi="宋体" w:cs="宋体"/>
          <w:color w:val="auto"/>
          <w:spacing w:val="3"/>
          <w:sz w:val="24"/>
          <w:highlight w:val="none"/>
          <w:u w:val="single"/>
        </w:rPr>
        <w:t xml:space="preserve">7   </w:t>
      </w:r>
      <w:r>
        <w:rPr>
          <w:rFonts w:hint="eastAsia" w:ascii="宋体" w:hAnsi="宋体" w:cs="宋体"/>
          <w:color w:val="auto"/>
          <w:spacing w:val="3"/>
          <w:sz w:val="24"/>
          <w:highlight w:val="none"/>
        </w:rPr>
        <w:t>日不能交货的，应向甲方支付合同总价</w:t>
      </w:r>
      <w:r>
        <w:rPr>
          <w:rFonts w:hint="eastAsia" w:ascii="宋体" w:hAnsi="宋体" w:cs="宋体"/>
          <w:color w:val="auto"/>
          <w:spacing w:val="3"/>
          <w:sz w:val="24"/>
          <w:highlight w:val="none"/>
          <w:u w:val="single"/>
        </w:rPr>
        <w:t xml:space="preserve">30  </w:t>
      </w:r>
      <w:r>
        <w:rPr>
          <w:rFonts w:hint="eastAsia" w:ascii="宋体" w:hAnsi="宋体" w:cs="宋体"/>
          <w:color w:val="auto"/>
          <w:spacing w:val="-40"/>
          <w:sz w:val="24"/>
          <w:highlight w:val="none"/>
        </w:rPr>
        <w:t xml:space="preserve"> </w:t>
      </w:r>
      <w:r>
        <w:rPr>
          <w:rFonts w:hint="eastAsia" w:ascii="宋体" w:hAnsi="宋体" w:cs="宋体"/>
          <w:color w:val="auto"/>
          <w:spacing w:val="3"/>
          <w:sz w:val="24"/>
          <w:highlight w:val="none"/>
        </w:rPr>
        <w:t>%的违</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约金，并且甲方有权解除本合同，不再退还履约保证金（如有）。</w:t>
      </w:r>
    </w:p>
    <w:p w14:paraId="7AE9A414">
      <w:pPr>
        <w:pStyle w:val="5"/>
        <w:spacing w:before="30" w:line="260" w:lineRule="exact"/>
        <w:rPr>
          <w:rFonts w:hint="eastAsia" w:ascii="宋体" w:hAnsi="宋体" w:cs="宋体"/>
          <w:color w:val="auto"/>
          <w:sz w:val="24"/>
        </w:rPr>
      </w:pPr>
      <w:r>
        <w:rPr>
          <w:rFonts w:hint="eastAsia" w:ascii="宋体" w:hAnsi="宋体" w:cs="宋体"/>
          <w:color w:val="auto"/>
          <w:spacing w:val="3"/>
          <w:sz w:val="24"/>
        </w:rPr>
        <w:t>乙方未在约定时间内完成安装调试（如有）的，参照前款约定承担违约责任。</w:t>
      </w:r>
    </w:p>
    <w:p w14:paraId="11C22087">
      <w:pPr>
        <w:pStyle w:val="5"/>
        <w:spacing w:before="29" w:line="260" w:lineRule="exact"/>
        <w:ind w:right="218"/>
        <w:rPr>
          <w:rFonts w:hint="eastAsia" w:ascii="宋体" w:hAnsi="宋体" w:cs="宋体"/>
          <w:color w:val="auto"/>
          <w:sz w:val="24"/>
        </w:rPr>
      </w:pPr>
      <w:r>
        <w:rPr>
          <w:rFonts w:hint="eastAsia" w:ascii="宋体" w:hAnsi="宋体" w:cs="宋体"/>
          <w:color w:val="auto"/>
          <w:spacing w:val="5"/>
          <w:sz w:val="24"/>
        </w:rPr>
        <w:t>3、乙方违反本合同和招投标文件约定的有关质量保证及售</w:t>
      </w:r>
      <w:r>
        <w:rPr>
          <w:rFonts w:hint="eastAsia" w:ascii="宋体" w:hAnsi="宋体" w:cs="宋体"/>
          <w:color w:val="auto"/>
          <w:spacing w:val="4"/>
          <w:sz w:val="24"/>
        </w:rPr>
        <w:t>后服务等的，每发生一次，乙方应向甲方支付</w:t>
      </w:r>
      <w:r>
        <w:rPr>
          <w:rFonts w:hint="eastAsia" w:ascii="宋体" w:hAnsi="宋体" w:cs="宋体"/>
          <w:color w:val="auto"/>
          <w:spacing w:val="4"/>
          <w:sz w:val="24"/>
          <w:u w:val="single"/>
        </w:rPr>
        <w:t xml:space="preserve">500  </w:t>
      </w:r>
      <w:r>
        <w:rPr>
          <w:rFonts w:hint="eastAsia" w:ascii="宋体" w:hAnsi="宋体" w:cs="宋体"/>
          <w:color w:val="auto"/>
          <w:spacing w:val="4"/>
          <w:sz w:val="24"/>
        </w:rPr>
        <w:t>元违约金。同时，甲方有权委托第</w:t>
      </w:r>
      <w:r>
        <w:rPr>
          <w:rFonts w:hint="eastAsia" w:ascii="宋体" w:hAnsi="宋体" w:cs="宋体"/>
          <w:color w:val="auto"/>
          <w:sz w:val="24"/>
        </w:rPr>
        <w:t xml:space="preserve"> </w:t>
      </w:r>
      <w:r>
        <w:rPr>
          <w:rFonts w:hint="eastAsia" w:ascii="宋体" w:hAnsi="宋体" w:cs="宋体"/>
          <w:color w:val="auto"/>
          <w:spacing w:val="5"/>
          <w:sz w:val="24"/>
        </w:rPr>
        <w:t>三方进行保修，所产生的费用由乙方承担。若因</w:t>
      </w:r>
      <w:r>
        <w:rPr>
          <w:rFonts w:hint="eastAsia" w:ascii="宋体" w:hAnsi="宋体" w:cs="宋体"/>
          <w:color w:val="auto"/>
          <w:spacing w:val="4"/>
          <w:sz w:val="24"/>
        </w:rPr>
        <w:t>货物缺陷或乙方服务质量等问题造成甲方或任何人员人身、财产损害的，乙方应承担有关责任并作出相</w:t>
      </w:r>
      <w:r>
        <w:rPr>
          <w:rFonts w:hint="eastAsia" w:ascii="宋体" w:hAnsi="宋体" w:cs="宋体"/>
          <w:color w:val="auto"/>
          <w:sz w:val="24"/>
        </w:rPr>
        <w:t xml:space="preserve">  </w:t>
      </w:r>
      <w:r>
        <w:rPr>
          <w:rFonts w:hint="eastAsia" w:ascii="宋体" w:hAnsi="宋体" w:cs="宋体"/>
          <w:color w:val="auto"/>
          <w:spacing w:val="-3"/>
          <w:sz w:val="24"/>
        </w:rPr>
        <w:t>应赔偿。</w:t>
      </w:r>
    </w:p>
    <w:p w14:paraId="6F24447E">
      <w:pPr>
        <w:pStyle w:val="5"/>
        <w:spacing w:before="30" w:line="260" w:lineRule="exact"/>
        <w:ind w:right="325"/>
        <w:rPr>
          <w:rFonts w:hint="eastAsia" w:ascii="宋体" w:hAnsi="宋体" w:cs="宋体"/>
          <w:color w:val="auto"/>
          <w:spacing w:val="2"/>
          <w:sz w:val="24"/>
        </w:rPr>
      </w:pPr>
      <w:r>
        <w:rPr>
          <w:rFonts w:hint="eastAsia" w:ascii="宋体" w:hAnsi="宋体" w:cs="宋体"/>
          <w:color w:val="auto"/>
          <w:spacing w:val="4"/>
          <w:sz w:val="24"/>
        </w:rPr>
        <w:t>4、乙方没有按网上超市协议承诺的价格或优惠率签订合同并供货的，甲方有权没收履约保证金（如有</w:t>
      </w:r>
      <w:r>
        <w:rPr>
          <w:rFonts w:hint="eastAsia" w:ascii="宋体" w:hAnsi="宋体" w:cs="宋体"/>
          <w:color w:val="auto"/>
          <w:spacing w:val="9"/>
          <w:sz w:val="24"/>
        </w:rPr>
        <w:t>），</w:t>
      </w:r>
      <w:r>
        <w:rPr>
          <w:rFonts w:hint="eastAsia" w:ascii="宋体" w:hAnsi="宋体" w:cs="宋体"/>
          <w:color w:val="auto"/>
          <w:spacing w:val="4"/>
          <w:sz w:val="24"/>
        </w:rPr>
        <w:t>同时，报经政府采购监管部门批准按照</w:t>
      </w:r>
      <w:r>
        <w:rPr>
          <w:rFonts w:hint="eastAsia" w:ascii="宋体" w:hAnsi="宋体" w:cs="宋体"/>
          <w:color w:val="auto"/>
          <w:spacing w:val="1"/>
          <w:sz w:val="24"/>
        </w:rPr>
        <w:t xml:space="preserve"> </w:t>
      </w:r>
      <w:r>
        <w:rPr>
          <w:rFonts w:hint="eastAsia" w:ascii="宋体" w:hAnsi="宋体" w:cs="宋体"/>
          <w:color w:val="auto"/>
          <w:spacing w:val="2"/>
          <w:sz w:val="24"/>
        </w:rPr>
        <w:t>相关政府采购法律法规的规定对其进行处罚。</w:t>
      </w:r>
    </w:p>
    <w:p w14:paraId="73C55B40">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4"/>
          <w:sz w:val="24"/>
        </w:rPr>
        <w:t>5、</w:t>
      </w:r>
      <w:r>
        <w:rPr>
          <w:rFonts w:hint="eastAsia" w:ascii="宋体" w:hAnsi="宋体" w:cs="宋体"/>
          <w:color w:val="auto"/>
          <w:spacing w:val="2"/>
          <w:sz w:val="24"/>
          <w:u w:val="single"/>
        </w:rPr>
        <w:t>因包装、运输引起的货物损坏，按质量不合格违约处理。</w:t>
      </w:r>
    </w:p>
    <w:p w14:paraId="20EECDD9">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6 、乙方未按本合同和响应文件中规定的服务承诺提供售后服务的，乙方应按本合同合计</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向甲方支付违约金。</w:t>
      </w:r>
    </w:p>
    <w:p w14:paraId="0C658850">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7 、乙方提供的货物在保修期内，因设计、工艺或者材料的缺陷和其它质量原因造成的问题，由乙方负责，费用从余款 或者履约保证金中扣除，不足另补。</w:t>
      </w:r>
    </w:p>
    <w:p w14:paraId="2C01AC4C">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 xml:space="preserve">8 、乙方提供的产品或服务因质量不合格造成甲方或第三人损失的，由乙方承担违约赔偿责任；甲乙双方有其它违约行为的，由违约方向对方支付违约行为涉及货款额的 10 % ，违约行为涉及货款额的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0 %不足以赔偿经济损失的按实际赔偿。</w:t>
      </w:r>
    </w:p>
    <w:p w14:paraId="43D848A8">
      <w:pPr>
        <w:pStyle w:val="5"/>
        <w:spacing w:before="30" w:line="260" w:lineRule="exact"/>
        <w:ind w:right="325"/>
        <w:rPr>
          <w:rFonts w:hint="eastAsia"/>
          <w:color w:val="auto"/>
        </w:rPr>
      </w:pPr>
      <w:r>
        <w:rPr>
          <w:rFonts w:hint="eastAsia" w:ascii="宋体" w:hAnsi="宋体" w:cs="宋体"/>
          <w:color w:val="auto"/>
          <w:spacing w:val="2"/>
          <w:sz w:val="24"/>
          <w:u w:val="single"/>
        </w:rPr>
        <w:t>9 、因任何一方的违约行为引起诉讼的，由违约方承担守约方为实现合同权利或债权而产生的全部费用（包括但不限于律师费、诉讼费、调查费、公告费、复印费、申请保全费、诉讼保全担保保险费、申请执行费、交通费、差旅费、鉴定费、证人出庭费用、协助执行悬赏费等费用） 。</w:t>
      </w:r>
    </w:p>
    <w:p w14:paraId="05756F21">
      <w:pPr>
        <w:pStyle w:val="5"/>
        <w:spacing w:before="271" w:line="260" w:lineRule="exact"/>
        <w:ind w:left="403"/>
        <w:rPr>
          <w:rFonts w:hint="eastAsia" w:ascii="宋体" w:hAnsi="宋体" w:cs="宋体"/>
          <w:color w:val="auto"/>
          <w:sz w:val="24"/>
        </w:rPr>
      </w:pPr>
      <w:r>
        <w:rPr>
          <w:rFonts w:hint="eastAsia" w:ascii="宋体" w:hAnsi="宋体" w:cs="宋体"/>
          <w:b/>
          <w:bCs/>
          <w:color w:val="auto"/>
          <w:spacing w:val="3"/>
          <w:sz w:val="24"/>
        </w:rPr>
        <w:t>十、争议解决</w:t>
      </w:r>
    </w:p>
    <w:p w14:paraId="6AB7F479">
      <w:pPr>
        <w:pStyle w:val="5"/>
        <w:spacing w:before="31" w:line="260" w:lineRule="exact"/>
        <w:rPr>
          <w:rFonts w:hint="eastAsia" w:ascii="宋体" w:hAnsi="宋体" w:cs="宋体"/>
          <w:color w:val="auto"/>
          <w:sz w:val="24"/>
        </w:rPr>
      </w:pPr>
      <w:r>
        <w:rPr>
          <w:rFonts w:hint="eastAsia" w:ascii="宋体" w:hAnsi="宋体" w:cs="宋体"/>
          <w:color w:val="auto"/>
          <w:spacing w:val="3"/>
          <w:sz w:val="24"/>
        </w:rPr>
        <w:t>1、本合同履行过程中发生争议的，双方可友好协商解决，或向采购</w:t>
      </w:r>
      <w:r>
        <w:rPr>
          <w:rFonts w:hint="eastAsia" w:ascii="宋体" w:hAnsi="宋体" w:cs="宋体"/>
          <w:color w:val="auto"/>
          <w:spacing w:val="2"/>
          <w:sz w:val="24"/>
        </w:rPr>
        <w:t>中心反映。</w:t>
      </w:r>
    </w:p>
    <w:p w14:paraId="12481BE1">
      <w:pPr>
        <w:pStyle w:val="5"/>
        <w:spacing w:line="260" w:lineRule="exact"/>
        <w:ind w:left="718"/>
        <w:rPr>
          <w:rFonts w:hint="eastAsia" w:ascii="宋体" w:hAnsi="宋体" w:cs="宋体"/>
          <w:color w:val="auto"/>
          <w:sz w:val="24"/>
        </w:rPr>
      </w:pPr>
      <w:r>
        <w:rPr>
          <w:rFonts w:hint="eastAsia" w:ascii="宋体" w:hAnsi="宋体" w:cs="宋体"/>
          <w:color w:val="auto"/>
          <w:spacing w:val="-3"/>
          <w:sz w:val="24"/>
        </w:rPr>
        <w:t>乙方指定协调人电话：</w:t>
      </w:r>
      <w:r>
        <w:rPr>
          <w:rFonts w:hint="eastAsia" w:ascii="宋体" w:hAnsi="宋体" w:cs="宋体"/>
          <w:color w:val="auto"/>
          <w:spacing w:val="17"/>
          <w:w w:val="101"/>
          <w:sz w:val="24"/>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24"/>
          <w:sz w:val="24"/>
        </w:rPr>
        <w:t xml:space="preserve"> </w:t>
      </w:r>
      <w:r>
        <w:rPr>
          <w:rFonts w:hint="eastAsia" w:ascii="宋体" w:hAnsi="宋体" w:cs="宋体"/>
          <w:color w:val="auto"/>
          <w:spacing w:val="-4"/>
          <w:sz w:val="24"/>
        </w:rPr>
        <w:t xml:space="preserve">；采购中心联系人电话：  </w:t>
      </w:r>
      <w:r>
        <w:rPr>
          <w:rFonts w:hint="eastAsia" w:ascii="宋体" w:hAnsi="宋体" w:cs="宋体"/>
          <w:color w:val="auto"/>
          <w:spacing w:val="-4"/>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36"/>
          <w:sz w:val="24"/>
        </w:rPr>
        <w:t xml:space="preserve"> </w:t>
      </w:r>
      <w:r>
        <w:rPr>
          <w:rFonts w:hint="eastAsia" w:ascii="宋体" w:hAnsi="宋体" w:cs="宋体"/>
          <w:color w:val="auto"/>
          <w:spacing w:val="-4"/>
          <w:sz w:val="24"/>
        </w:rPr>
        <w:t>；</w:t>
      </w:r>
    </w:p>
    <w:p w14:paraId="2DDB5A2B">
      <w:pPr>
        <w:pStyle w:val="5"/>
        <w:spacing w:line="260" w:lineRule="exact"/>
        <w:ind w:left="709"/>
        <w:rPr>
          <w:rFonts w:hint="eastAsia" w:ascii="宋体" w:hAnsi="宋体" w:cs="宋体"/>
          <w:color w:val="auto"/>
          <w:sz w:val="24"/>
        </w:rPr>
      </w:pPr>
      <w:r>
        <w:rPr>
          <w:rFonts w:hint="eastAsia" w:ascii="宋体" w:hAnsi="宋体" w:cs="宋体"/>
          <w:color w:val="auto"/>
          <w:spacing w:val="-6"/>
          <w:sz w:val="24"/>
        </w:rPr>
        <w:t>采购监管部门投诉电话：</w:t>
      </w:r>
      <w:r>
        <w:rPr>
          <w:rFonts w:hint="eastAsia" w:ascii="宋体" w:hAnsi="宋体" w:cs="宋体"/>
          <w:color w:val="auto"/>
          <w:spacing w:val="13"/>
          <w:w w:val="101"/>
          <w:sz w:val="24"/>
        </w:rPr>
        <w:t xml:space="preserve">  </w:t>
      </w:r>
      <w:r>
        <w:rPr>
          <w:rFonts w:hint="eastAsia" w:ascii="宋体" w:hAnsi="宋体" w:cs="宋体"/>
          <w:color w:val="auto"/>
          <w:spacing w:val="36"/>
          <w:sz w:val="24"/>
          <w:u w:val="single"/>
        </w:rPr>
        <w:t xml:space="preserve">  </w:t>
      </w:r>
      <w:r>
        <w:rPr>
          <w:rFonts w:hint="eastAsia" w:ascii="宋体" w:hAnsi="宋体" w:cs="宋体"/>
          <w:color w:val="auto"/>
          <w:spacing w:val="-6"/>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6"/>
          <w:sz w:val="24"/>
        </w:rPr>
        <w:t>。</w:t>
      </w:r>
    </w:p>
    <w:p w14:paraId="369794A7">
      <w:pPr>
        <w:pStyle w:val="5"/>
        <w:spacing w:before="16" w:line="260" w:lineRule="exact"/>
        <w:rPr>
          <w:rFonts w:hint="eastAsia" w:ascii="宋体" w:hAnsi="宋体" w:cs="宋体"/>
          <w:color w:val="auto"/>
          <w:sz w:val="24"/>
        </w:rPr>
      </w:pPr>
      <w:r>
        <w:rPr>
          <w:rFonts w:hint="eastAsia" w:ascii="宋体" w:hAnsi="宋体" w:cs="宋体"/>
          <w:color w:val="auto"/>
          <w:spacing w:val="2"/>
          <w:sz w:val="24"/>
        </w:rPr>
        <w:t>2、协商不成的，任何一方可向甲方所在地人民法院起诉。</w:t>
      </w:r>
    </w:p>
    <w:p w14:paraId="080EB3AF">
      <w:pPr>
        <w:pStyle w:val="5"/>
        <w:spacing w:before="30" w:line="260" w:lineRule="exact"/>
        <w:ind w:right="325"/>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pacing w:val="2"/>
          <w:sz w:val="24"/>
          <w:u w:val="single"/>
        </w:rPr>
        <w:t>双方在本合同所留地址为双方送达书面通知及法院送达诉讼、裁判、执行等文书的送达地址。如有变更，应在变更后五日内以书面形式通知另一方。否则，承担通知无法送达的责任。一方或法院向对方送达的通知，受送达方应即时签收。如因受送达方的原因导致通知不能送达或受送达方拒绝签收的，邮寄凭证作为受送达方已签收的依据，法院送 达的文书或送达方送达的通知等自寄出后(以邮寄凭证上投寄日期起算)第五日视为送达</w:t>
      </w:r>
      <w:r>
        <w:rPr>
          <w:rFonts w:hint="eastAsia" w:ascii="宋体" w:hAnsi="宋体" w:cs="宋体"/>
          <w:color w:val="auto"/>
          <w:spacing w:val="2"/>
          <w:sz w:val="24"/>
          <w:u w:val="single"/>
          <w:lang w:eastAsia="zh-CN"/>
        </w:rPr>
        <w:t>。</w:t>
      </w:r>
    </w:p>
    <w:p w14:paraId="2C404A62">
      <w:pPr>
        <w:pStyle w:val="5"/>
        <w:spacing w:before="242" w:line="260" w:lineRule="exact"/>
        <w:ind w:left="403"/>
        <w:rPr>
          <w:rFonts w:hint="eastAsia" w:ascii="宋体" w:hAnsi="宋体" w:cs="宋体"/>
          <w:b/>
          <w:bCs/>
          <w:color w:val="auto"/>
          <w:spacing w:val="3"/>
          <w:sz w:val="24"/>
        </w:rPr>
      </w:pPr>
      <w:r>
        <w:rPr>
          <w:rFonts w:hint="eastAsia" w:ascii="宋体" w:hAnsi="宋体" w:cs="宋体"/>
          <w:b/>
          <w:bCs/>
          <w:color w:val="auto"/>
          <w:spacing w:val="3"/>
          <w:sz w:val="24"/>
        </w:rPr>
        <w:t>十一、合同生效及其他</w:t>
      </w:r>
    </w:p>
    <w:p w14:paraId="100E343D">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lang w:val="en-US" w:eastAsia="zh-CN"/>
        </w:rPr>
      </w:pPr>
      <w:r>
        <w:rPr>
          <w:rFonts w:hint="eastAsia" w:ascii="宋体" w:hAnsi="宋体" w:cs="宋体"/>
          <w:color w:val="auto"/>
          <w:spacing w:val="4"/>
          <w:sz w:val="24"/>
        </w:rPr>
        <w:t>1、广西壮族自治区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招标文件以及投标文件、询标纪要、广西壮族自治区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p>
    <w:p w14:paraId="1F49CB3D">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电子卖场（网上超市）项目协议书和承诺书是本合同不可分割的组成部分，本合同未尽事宜从其规定。若本合同约定与前述文件约定不一致的，按照下列顺序予以解释：</w:t>
      </w:r>
    </w:p>
    <w:p w14:paraId="052A2697">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rPr>
        <w:t>（1）本合同履行过程中双方签署的变更或补充协议（如有）；</w:t>
      </w:r>
    </w:p>
    <w:p w14:paraId="696F16EE">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w:t>
      </w:r>
    </w:p>
    <w:p w14:paraId="6FA9CEA9">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rPr>
        <w:t xml:space="preserve"> 电子卖场（网上超市）项目协议书和承诺书；</w:t>
      </w:r>
    </w:p>
    <w:p w14:paraId="05A2B1ED">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（4）投标文件；</w:t>
      </w:r>
    </w:p>
    <w:p w14:paraId="0E5EB7A7">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（5）其他合同文件。</w:t>
      </w:r>
    </w:p>
    <w:p w14:paraId="2A73E52C">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2、本合同经甲乙双方加盖公章后生效。合同内容如遇国家法律、法规及政策另有规定的，从其规定。</w:t>
      </w:r>
    </w:p>
    <w:p w14:paraId="33DBC322">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3、本合同一式</w:t>
      </w:r>
      <w:r>
        <w:rPr>
          <w:rFonts w:hint="eastAsia" w:ascii="宋体" w:hAnsi="宋体" w:cs="宋体"/>
          <w:color w:val="auto"/>
          <w:spacing w:val="4"/>
          <w:sz w:val="24"/>
          <w:u w:val="single"/>
        </w:rPr>
        <w:t xml:space="preserve"> 两 </w:t>
      </w:r>
      <w:r>
        <w:rPr>
          <w:rFonts w:hint="eastAsia" w:ascii="宋体" w:hAnsi="宋体" w:cs="宋体"/>
          <w:color w:val="auto"/>
          <w:spacing w:val="4"/>
          <w:sz w:val="24"/>
        </w:rPr>
        <w:t>份，甲乙双方各执</w:t>
      </w:r>
      <w:r>
        <w:rPr>
          <w:rFonts w:hint="eastAsia" w:ascii="宋体" w:hAnsi="宋体" w:cs="宋体"/>
          <w:color w:val="auto"/>
          <w:spacing w:val="4"/>
          <w:sz w:val="24"/>
          <w:u w:val="single"/>
        </w:rPr>
        <w:t xml:space="preserve"> 一 </w:t>
      </w:r>
      <w:r>
        <w:rPr>
          <w:rFonts w:hint="eastAsia" w:ascii="宋体" w:hAnsi="宋体" w:cs="宋体"/>
          <w:color w:val="auto"/>
          <w:spacing w:val="4"/>
          <w:sz w:val="24"/>
        </w:rPr>
        <w:t>份，具有同等法律效力。</w:t>
      </w:r>
    </w:p>
    <w:p w14:paraId="6E182416">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u w:val="single"/>
        </w:rPr>
      </w:pPr>
      <w:r>
        <w:rPr>
          <w:rFonts w:hint="eastAsia" w:ascii="宋体" w:hAnsi="宋体" w:cs="宋体"/>
          <w:color w:val="auto"/>
          <w:spacing w:val="4"/>
          <w:sz w:val="24"/>
        </w:rPr>
        <w:t>4、</w:t>
      </w:r>
      <w:r>
        <w:rPr>
          <w:rFonts w:hint="eastAsia" w:ascii="宋体" w:hAnsi="宋体" w:cs="宋体"/>
          <w:color w:val="auto"/>
          <w:spacing w:val="4"/>
          <w:sz w:val="24"/>
          <w:u w:val="single"/>
        </w:rPr>
        <w:t>无</w:t>
      </w:r>
    </w:p>
    <w:p w14:paraId="38E29029">
      <w:pPr>
        <w:pageBreakBefore w:val="0"/>
        <w:widowControl w:val="0"/>
        <w:kinsoku/>
        <w:wordWrap/>
        <w:overflowPunct/>
        <w:topLinePunct w:val="0"/>
        <w:autoSpaceDE/>
        <w:autoSpaceDN/>
        <w:bidi w:val="0"/>
        <w:adjustRightInd/>
        <w:snapToGrid/>
        <w:textAlignment w:val="auto"/>
        <w:rPr>
          <w:rFonts w:hint="eastAsia" w:ascii="宋体" w:hAnsi="宋体" w:cs="宋体"/>
          <w:color w:val="auto"/>
          <w:spacing w:val="4"/>
          <w:sz w:val="24"/>
        </w:rPr>
      </w:pPr>
      <w:r>
        <w:rPr>
          <w:rFonts w:hint="eastAsia" w:ascii="宋体" w:hAnsi="宋体" w:cs="宋体"/>
          <w:color w:val="auto"/>
          <w:spacing w:val="4"/>
          <w:sz w:val="24"/>
        </w:rPr>
        <w:br w:type="page"/>
      </w:r>
    </w:p>
    <w:p w14:paraId="66480AD9">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第四章  响应文件格式</w:t>
      </w:r>
      <w:bookmarkStart w:id="11" w:name="_Toc217446082"/>
    </w:p>
    <w:bookmarkEnd w:id="11"/>
    <w:p w14:paraId="7D905316">
      <w:pPr>
        <w:keepNext/>
        <w:keepLines/>
        <w:spacing w:before="260" w:after="260" w:line="360" w:lineRule="auto"/>
        <w:jc w:val="center"/>
        <w:outlineLvl w:val="1"/>
        <w:rPr>
          <w:rFonts w:hint="eastAsia" w:ascii="宋体" w:hAnsi="宋体" w:cs="宋体"/>
          <w:b/>
          <w:color w:val="auto"/>
          <w:sz w:val="32"/>
          <w:szCs w:val="32"/>
        </w:rPr>
      </w:pPr>
      <w:bookmarkStart w:id="12" w:name="_Toc317509430"/>
      <w:bookmarkStart w:id="13" w:name="_Toc217446085"/>
      <w:bookmarkStart w:id="14" w:name="_Toc325464859"/>
      <w:r>
        <w:rPr>
          <w:rFonts w:hint="eastAsia" w:ascii="宋体" w:hAnsi="宋体" w:cs="宋体"/>
          <w:b/>
          <w:color w:val="auto"/>
          <w:sz w:val="32"/>
          <w:szCs w:val="32"/>
        </w:rPr>
        <w:t>一、法定代表人授权委托书</w:t>
      </w:r>
    </w:p>
    <w:p w14:paraId="5E565017">
      <w:pPr>
        <w:spacing w:line="360" w:lineRule="auto"/>
        <w:jc w:val="left"/>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 xml:space="preserve"> 广西交通技师学院</w:t>
      </w:r>
      <w:r>
        <w:rPr>
          <w:rFonts w:ascii="宋体" w:hAnsi="宋体"/>
          <w:color w:val="auto"/>
          <w:sz w:val="32"/>
          <w:szCs w:val="32"/>
          <w:u w:val="single"/>
        </w:rPr>
        <w:t xml:space="preserve"> </w:t>
      </w:r>
      <w:r>
        <w:rPr>
          <w:rFonts w:hint="eastAsia" w:ascii="宋体" w:hAnsi="宋体"/>
          <w:color w:val="auto"/>
          <w:sz w:val="32"/>
          <w:szCs w:val="32"/>
        </w:rPr>
        <w:t xml:space="preserve">（采购人名称）：   </w:t>
      </w:r>
    </w:p>
    <w:p w14:paraId="463552E2">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本人</w:t>
      </w:r>
      <w:r>
        <w:rPr>
          <w:rFonts w:hint="eastAsia" w:ascii="宋体" w:hAnsi="宋体"/>
          <w:color w:val="auto"/>
          <w:sz w:val="32"/>
          <w:szCs w:val="32"/>
          <w:u w:val="single"/>
        </w:rPr>
        <w:t xml:space="preserve">          （姓名） </w:t>
      </w:r>
      <w:r>
        <w:rPr>
          <w:rFonts w:hint="eastAsia" w:ascii="宋体" w:hAnsi="宋体"/>
          <w:color w:val="auto"/>
          <w:sz w:val="32"/>
          <w:szCs w:val="32"/>
        </w:rPr>
        <w:t>系</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（响应人全称）</w:t>
      </w:r>
      <w:r>
        <w:rPr>
          <w:rFonts w:hint="eastAsia" w:ascii="宋体" w:hAnsi="宋体"/>
          <w:color w:val="auto"/>
          <w:sz w:val="32"/>
          <w:szCs w:val="32"/>
        </w:rPr>
        <w:t>的法定代表人，现授权委托</w:t>
      </w:r>
      <w:r>
        <w:rPr>
          <w:rFonts w:hint="eastAsia" w:ascii="宋体" w:hAnsi="宋体"/>
          <w:color w:val="auto"/>
          <w:sz w:val="32"/>
          <w:szCs w:val="32"/>
          <w:u w:val="single"/>
        </w:rPr>
        <w:t xml:space="preserve">          （被委托人姓名、职务）</w:t>
      </w:r>
      <w:r>
        <w:rPr>
          <w:rFonts w:hint="eastAsia" w:ascii="宋体" w:hAnsi="宋体"/>
          <w:color w:val="auto"/>
          <w:sz w:val="32"/>
          <w:szCs w:val="32"/>
        </w:rPr>
        <w:t>为我公司代理人，以本公司的名义参加</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（项目名称） </w:t>
      </w:r>
      <w:r>
        <w:rPr>
          <w:rFonts w:hint="eastAsia" w:ascii="宋体" w:hAnsi="宋体"/>
          <w:color w:val="auto"/>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14:paraId="225A7040">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代理人无转委托权，特此委托。</w:t>
      </w:r>
    </w:p>
    <w:p w14:paraId="7E723645">
      <w:pPr>
        <w:spacing w:line="360" w:lineRule="auto"/>
        <w:jc w:val="left"/>
        <w:rPr>
          <w:rFonts w:ascii="宋体" w:hAnsi="宋体"/>
          <w:color w:val="auto"/>
          <w:sz w:val="32"/>
          <w:szCs w:val="32"/>
        </w:rPr>
      </w:pPr>
    </w:p>
    <w:p w14:paraId="2C2670D5">
      <w:pPr>
        <w:spacing w:line="360" w:lineRule="auto"/>
        <w:ind w:firstLine="1920" w:firstLineChars="600"/>
        <w:rPr>
          <w:rFonts w:ascii="宋体" w:hAnsi="宋体"/>
          <w:color w:val="auto"/>
          <w:sz w:val="32"/>
          <w:szCs w:val="32"/>
        </w:rPr>
      </w:pPr>
      <w:r>
        <w:rPr>
          <w:rFonts w:hint="eastAsia" w:ascii="宋体" w:hAnsi="宋体"/>
          <w:color w:val="auto"/>
          <w:sz w:val="32"/>
          <w:szCs w:val="32"/>
        </w:rPr>
        <w:t>代理人：</w:t>
      </w:r>
      <w:r>
        <w:rPr>
          <w:rFonts w:hint="eastAsia" w:ascii="宋体" w:hAnsi="宋体"/>
          <w:color w:val="auto"/>
          <w:sz w:val="32"/>
          <w:szCs w:val="32"/>
          <w:u w:val="single"/>
        </w:rPr>
        <w:t xml:space="preserve">       （签字）</w:t>
      </w:r>
      <w:r>
        <w:rPr>
          <w:rFonts w:hint="eastAsia" w:ascii="宋体" w:hAnsi="宋体"/>
          <w:color w:val="auto"/>
          <w:sz w:val="32"/>
          <w:szCs w:val="32"/>
        </w:rPr>
        <w:t>性别：</w:t>
      </w:r>
      <w:r>
        <w:rPr>
          <w:rFonts w:hint="eastAsia" w:ascii="宋体" w:hAnsi="宋体"/>
          <w:color w:val="auto"/>
          <w:sz w:val="32"/>
          <w:szCs w:val="32"/>
          <w:u w:val="single"/>
        </w:rPr>
        <w:t xml:space="preserve">     </w:t>
      </w:r>
      <w:r>
        <w:rPr>
          <w:rFonts w:hint="eastAsia" w:ascii="宋体" w:hAnsi="宋体"/>
          <w:color w:val="auto"/>
          <w:sz w:val="32"/>
          <w:szCs w:val="32"/>
        </w:rPr>
        <w:t>年龄：</w:t>
      </w:r>
      <w:r>
        <w:rPr>
          <w:rFonts w:hint="eastAsia" w:ascii="宋体" w:hAnsi="宋体"/>
          <w:color w:val="auto"/>
          <w:sz w:val="32"/>
          <w:szCs w:val="32"/>
          <w:u w:val="single"/>
        </w:rPr>
        <w:t xml:space="preserve">     </w:t>
      </w:r>
    </w:p>
    <w:p w14:paraId="2DB0E97D">
      <w:pPr>
        <w:spacing w:line="360" w:lineRule="auto"/>
        <w:ind w:firstLine="1920" w:firstLineChars="600"/>
        <w:rPr>
          <w:rFonts w:ascii="宋体" w:hAnsi="宋体"/>
          <w:color w:val="auto"/>
          <w:sz w:val="32"/>
          <w:szCs w:val="32"/>
        </w:rPr>
      </w:pPr>
      <w:r>
        <w:rPr>
          <w:rFonts w:hint="eastAsia" w:ascii="宋体" w:hAnsi="宋体"/>
          <w:color w:val="auto"/>
          <w:sz w:val="32"/>
          <w:szCs w:val="32"/>
        </w:rPr>
        <w:t>身份证号码：</w:t>
      </w:r>
      <w:r>
        <w:rPr>
          <w:rFonts w:hint="eastAsia" w:ascii="宋体" w:hAnsi="宋体"/>
          <w:color w:val="auto"/>
          <w:sz w:val="32"/>
          <w:szCs w:val="32"/>
          <w:u w:val="single"/>
        </w:rPr>
        <w:t xml:space="preserve">                                 </w:t>
      </w:r>
    </w:p>
    <w:p w14:paraId="0842D48E">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响应人（盖章）：</w:t>
      </w:r>
      <w:r>
        <w:rPr>
          <w:rFonts w:hint="eastAsia" w:ascii="宋体" w:hAnsi="宋体"/>
          <w:color w:val="auto"/>
          <w:sz w:val="32"/>
          <w:szCs w:val="32"/>
          <w:u w:val="single"/>
        </w:rPr>
        <w:t xml:space="preserve">                              </w:t>
      </w:r>
    </w:p>
    <w:p w14:paraId="700D85AA">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法定代表人（签字或盖章）：</w:t>
      </w:r>
      <w:r>
        <w:rPr>
          <w:rFonts w:hint="eastAsia" w:ascii="宋体" w:hAnsi="宋体"/>
          <w:color w:val="auto"/>
          <w:sz w:val="32"/>
          <w:szCs w:val="32"/>
          <w:u w:val="single"/>
        </w:rPr>
        <w:t xml:space="preserve">                    </w:t>
      </w:r>
    </w:p>
    <w:p w14:paraId="12D3984B">
      <w:pPr>
        <w:spacing w:line="360" w:lineRule="auto"/>
        <w:ind w:firstLine="1920" w:firstLineChars="600"/>
        <w:rPr>
          <w:rFonts w:ascii="宋体" w:hAnsi="宋体"/>
          <w:color w:val="auto"/>
          <w:sz w:val="32"/>
          <w:szCs w:val="32"/>
        </w:rPr>
      </w:pPr>
      <w:r>
        <w:rPr>
          <w:rFonts w:hint="eastAsia" w:ascii="宋体" w:hAnsi="宋体"/>
          <w:color w:val="auto"/>
          <w:sz w:val="32"/>
          <w:szCs w:val="32"/>
        </w:rPr>
        <w:t>授权委托日期：</w:t>
      </w:r>
      <w:r>
        <w:rPr>
          <w:rFonts w:hint="eastAsia" w:ascii="宋体" w:hAnsi="宋体"/>
          <w:color w:val="auto"/>
          <w:sz w:val="32"/>
          <w:szCs w:val="32"/>
          <w:u w:val="single"/>
        </w:rPr>
        <w:t xml:space="preserve">           </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 xml:space="preserve">月 </w:t>
      </w:r>
      <w:r>
        <w:rPr>
          <w:rFonts w:hint="eastAsia" w:ascii="宋体" w:hAnsi="宋体"/>
          <w:color w:val="auto"/>
          <w:sz w:val="32"/>
          <w:szCs w:val="32"/>
          <w:u w:val="single"/>
        </w:rPr>
        <w:t xml:space="preserve">       </w:t>
      </w:r>
      <w:r>
        <w:rPr>
          <w:rFonts w:hint="eastAsia" w:ascii="宋体" w:hAnsi="宋体"/>
          <w:color w:val="auto"/>
          <w:sz w:val="32"/>
          <w:szCs w:val="32"/>
        </w:rPr>
        <w:t>日</w:t>
      </w:r>
    </w:p>
    <w:p w14:paraId="0C749E7C">
      <w:pPr>
        <w:spacing w:line="360" w:lineRule="auto"/>
        <w:jc w:val="left"/>
        <w:rPr>
          <w:rFonts w:ascii="宋体" w:hAnsi="宋体"/>
          <w:color w:val="auto"/>
          <w:sz w:val="32"/>
          <w:szCs w:val="32"/>
        </w:rPr>
      </w:pPr>
    </w:p>
    <w:p w14:paraId="584BC3E5">
      <w:pPr>
        <w:spacing w:line="360" w:lineRule="auto"/>
        <w:jc w:val="left"/>
        <w:rPr>
          <w:rFonts w:ascii="宋体" w:hAnsi="宋体"/>
          <w:color w:val="auto"/>
          <w:sz w:val="32"/>
          <w:szCs w:val="32"/>
        </w:rPr>
      </w:pPr>
      <w:r>
        <w:rPr>
          <w:rFonts w:hint="eastAsia" w:ascii="宋体" w:hAnsi="宋体"/>
          <w:color w:val="auto"/>
          <w:sz w:val="32"/>
          <w:szCs w:val="32"/>
        </w:rPr>
        <w:t>注：1、附法定代表人及委托代理人身份证复印件并加盖单位公章。</w:t>
      </w:r>
    </w:p>
    <w:p w14:paraId="6390BEAE">
      <w:pPr>
        <w:spacing w:line="360" w:lineRule="auto"/>
        <w:ind w:firstLine="640" w:firstLineChars="200"/>
        <w:rPr>
          <w:rFonts w:hint="eastAsia" w:ascii="宋体" w:hAnsi="宋体" w:cs="宋体"/>
          <w:b/>
          <w:color w:val="auto"/>
          <w:sz w:val="28"/>
          <w:szCs w:val="20"/>
        </w:rPr>
      </w:pPr>
      <w:r>
        <w:rPr>
          <w:rFonts w:hint="eastAsia" w:ascii="宋体" w:hAnsi="宋体"/>
          <w:color w:val="auto"/>
          <w:sz w:val="32"/>
          <w:szCs w:val="32"/>
        </w:rPr>
        <w:t>2、响应人的法定代表人直接参加询价活动的，不提供授权书。</w:t>
      </w:r>
      <w:bookmarkEnd w:id="12"/>
      <w:bookmarkEnd w:id="13"/>
      <w:bookmarkEnd w:id="14"/>
      <w:bookmarkStart w:id="15" w:name="_Toc317509431"/>
      <w:bookmarkStart w:id="16" w:name="_Toc217446087"/>
      <w:bookmarkStart w:id="17" w:name="_Toc325464860"/>
    </w:p>
    <w:p w14:paraId="020F0F2A">
      <w:pPr>
        <w:keepNext/>
        <w:keepLines/>
        <w:spacing w:before="260" w:after="260"/>
        <w:ind w:firstLine="3855" w:firstLineChars="1200"/>
        <w:outlineLvl w:val="1"/>
        <w:rPr>
          <w:rFonts w:hint="eastAsia" w:ascii="宋体" w:hAnsi="宋体" w:cs="宋体"/>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二、</w:t>
      </w:r>
      <w:bookmarkEnd w:id="15"/>
      <w:bookmarkEnd w:id="16"/>
      <w:r>
        <w:rPr>
          <w:rFonts w:hint="eastAsia" w:ascii="宋体" w:hAnsi="宋体" w:cs="宋体"/>
          <w:b/>
          <w:color w:val="auto"/>
          <w:sz w:val="32"/>
          <w:szCs w:val="32"/>
        </w:rPr>
        <w:t>报价表</w:t>
      </w:r>
      <w:bookmarkEnd w:id="17"/>
      <w:r>
        <w:rPr>
          <w:rFonts w:hint="eastAsia" w:ascii="宋体" w:hAnsi="宋体" w:cs="宋体"/>
          <w:color w:val="auto"/>
          <w:sz w:val="32"/>
          <w:szCs w:val="32"/>
        </w:rPr>
        <w:t xml:space="preserve">   </w:t>
      </w:r>
    </w:p>
    <w:p w14:paraId="5B29E72C">
      <w:pPr>
        <w:pStyle w:val="27"/>
        <w:jc w:val="center"/>
        <w:rPr>
          <w:rFonts w:hint="eastAsia"/>
          <w:bCs/>
          <w:color w:val="auto"/>
          <w:spacing w:val="20"/>
          <w:kern w:val="44"/>
          <w:sz w:val="28"/>
          <w:szCs w:val="28"/>
        </w:rPr>
      </w:pPr>
      <w:r>
        <w:rPr>
          <w:rFonts w:hint="eastAsia"/>
          <w:bCs/>
          <w:color w:val="auto"/>
          <w:spacing w:val="20"/>
          <w:kern w:val="44"/>
          <w:sz w:val="28"/>
          <w:szCs w:val="28"/>
        </w:rPr>
        <w:t>(以项目实际情况编制）</w:t>
      </w:r>
    </w:p>
    <w:tbl>
      <w:tblPr>
        <w:tblStyle w:val="16"/>
        <w:tblW w:w="10617" w:type="dxa"/>
        <w:jc w:val="center"/>
        <w:tblLayout w:type="fixed"/>
        <w:tblCellMar>
          <w:top w:w="0" w:type="dxa"/>
          <w:left w:w="108" w:type="dxa"/>
          <w:bottom w:w="0" w:type="dxa"/>
          <w:right w:w="108" w:type="dxa"/>
        </w:tblCellMar>
      </w:tblPr>
      <w:tblGrid>
        <w:gridCol w:w="694"/>
        <w:gridCol w:w="1856"/>
        <w:gridCol w:w="3181"/>
        <w:gridCol w:w="789"/>
        <w:gridCol w:w="895"/>
        <w:gridCol w:w="850"/>
        <w:gridCol w:w="1366"/>
        <w:gridCol w:w="986"/>
      </w:tblGrid>
      <w:tr w14:paraId="1061F4F4">
        <w:tblPrEx>
          <w:tblCellMar>
            <w:top w:w="0" w:type="dxa"/>
            <w:left w:w="108" w:type="dxa"/>
            <w:bottom w:w="0" w:type="dxa"/>
            <w:right w:w="108" w:type="dxa"/>
          </w:tblCellMar>
        </w:tblPrEx>
        <w:trPr>
          <w:trHeight w:val="1164"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14:paraId="62704717">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序号</w:t>
            </w:r>
          </w:p>
        </w:tc>
        <w:tc>
          <w:tcPr>
            <w:tcW w:w="1856" w:type="dxa"/>
            <w:tcBorders>
              <w:top w:val="single" w:color="auto" w:sz="4" w:space="0"/>
              <w:left w:val="nil"/>
              <w:bottom w:val="single" w:color="auto" w:sz="4" w:space="0"/>
              <w:right w:val="single" w:color="auto" w:sz="4" w:space="0"/>
            </w:tcBorders>
            <w:noWrap w:val="0"/>
            <w:vAlign w:val="center"/>
          </w:tcPr>
          <w:p w14:paraId="56E5AE8B">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货物（服务、工程）名称</w:t>
            </w:r>
          </w:p>
        </w:tc>
        <w:tc>
          <w:tcPr>
            <w:tcW w:w="3181" w:type="dxa"/>
            <w:tcBorders>
              <w:top w:val="single" w:color="auto" w:sz="4" w:space="0"/>
              <w:left w:val="nil"/>
              <w:bottom w:val="single" w:color="auto" w:sz="4" w:space="0"/>
              <w:right w:val="single" w:color="auto" w:sz="4" w:space="0"/>
            </w:tcBorders>
            <w:noWrap/>
            <w:vAlign w:val="center"/>
          </w:tcPr>
          <w:p w14:paraId="3F6B1D84">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规格型号</w:t>
            </w:r>
          </w:p>
        </w:tc>
        <w:tc>
          <w:tcPr>
            <w:tcW w:w="789" w:type="dxa"/>
            <w:tcBorders>
              <w:top w:val="single" w:color="auto" w:sz="4" w:space="0"/>
              <w:left w:val="nil"/>
              <w:bottom w:val="single" w:color="auto" w:sz="4" w:space="0"/>
              <w:right w:val="single" w:color="auto" w:sz="4" w:space="0"/>
            </w:tcBorders>
            <w:noWrap/>
            <w:vAlign w:val="center"/>
          </w:tcPr>
          <w:p w14:paraId="5A8F4567">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895" w:type="dxa"/>
            <w:tcBorders>
              <w:top w:val="single" w:color="auto" w:sz="4" w:space="0"/>
              <w:left w:val="single" w:color="auto" w:sz="4" w:space="0"/>
              <w:bottom w:val="single" w:color="auto" w:sz="4" w:space="0"/>
              <w:right w:val="single" w:color="auto" w:sz="4" w:space="0"/>
            </w:tcBorders>
            <w:noWrap/>
            <w:vAlign w:val="center"/>
          </w:tcPr>
          <w:p w14:paraId="0B68DB8B">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850" w:type="dxa"/>
            <w:tcBorders>
              <w:top w:val="single" w:color="auto" w:sz="4" w:space="0"/>
              <w:left w:val="nil"/>
              <w:bottom w:val="single" w:color="auto" w:sz="4" w:space="0"/>
              <w:right w:val="single" w:color="auto" w:sz="4" w:space="0"/>
            </w:tcBorders>
            <w:noWrap/>
            <w:vAlign w:val="center"/>
          </w:tcPr>
          <w:p w14:paraId="4A90DD8D">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单价</w:t>
            </w:r>
          </w:p>
        </w:tc>
        <w:tc>
          <w:tcPr>
            <w:tcW w:w="1366" w:type="dxa"/>
            <w:tcBorders>
              <w:top w:val="single" w:color="auto" w:sz="4" w:space="0"/>
              <w:left w:val="nil"/>
              <w:bottom w:val="single" w:color="auto" w:sz="4" w:space="0"/>
              <w:right w:val="single" w:color="auto" w:sz="4" w:space="0"/>
            </w:tcBorders>
            <w:noWrap w:val="0"/>
            <w:vAlign w:val="center"/>
          </w:tcPr>
          <w:p w14:paraId="7CA9EBFA">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合计</w:t>
            </w:r>
          </w:p>
        </w:tc>
        <w:tc>
          <w:tcPr>
            <w:tcW w:w="986" w:type="dxa"/>
            <w:tcBorders>
              <w:top w:val="single" w:color="auto" w:sz="4" w:space="0"/>
              <w:left w:val="nil"/>
              <w:bottom w:val="single" w:color="auto" w:sz="4" w:space="0"/>
              <w:right w:val="single" w:color="auto" w:sz="4" w:space="0"/>
            </w:tcBorders>
            <w:noWrap w:val="0"/>
            <w:vAlign w:val="center"/>
          </w:tcPr>
          <w:p w14:paraId="415838F4">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备注</w:t>
            </w:r>
          </w:p>
        </w:tc>
      </w:tr>
      <w:tr w14:paraId="6E1B145C">
        <w:tblPrEx>
          <w:tblCellMar>
            <w:top w:w="0" w:type="dxa"/>
            <w:left w:w="108" w:type="dxa"/>
            <w:bottom w:w="0" w:type="dxa"/>
            <w:right w:w="108" w:type="dxa"/>
          </w:tblCellMar>
        </w:tblPrEx>
        <w:trPr>
          <w:trHeight w:val="785" w:hRule="atLeast"/>
          <w:jc w:val="center"/>
        </w:trPr>
        <w:tc>
          <w:tcPr>
            <w:tcW w:w="694" w:type="dxa"/>
            <w:tcBorders>
              <w:top w:val="nil"/>
              <w:left w:val="single" w:color="auto" w:sz="4" w:space="0"/>
              <w:bottom w:val="single" w:color="auto" w:sz="4" w:space="0"/>
              <w:right w:val="single" w:color="auto" w:sz="4" w:space="0"/>
            </w:tcBorders>
            <w:noWrap/>
            <w:vAlign w:val="center"/>
          </w:tcPr>
          <w:p w14:paraId="4E0464E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r>
              <w:rPr>
                <w:rFonts w:hint="eastAsia" w:ascii="宋体" w:hAnsi="宋体" w:cs="宋体"/>
                <w:color w:val="auto"/>
                <w:kern w:val="0"/>
                <w:sz w:val="22"/>
                <w:szCs w:val="22"/>
                <w:lang w:bidi="ar"/>
              </w:rPr>
              <w:t>1</w:t>
            </w:r>
          </w:p>
        </w:tc>
        <w:tc>
          <w:tcPr>
            <w:tcW w:w="1856" w:type="dxa"/>
            <w:tcBorders>
              <w:top w:val="nil"/>
              <w:left w:val="nil"/>
              <w:bottom w:val="single" w:color="auto" w:sz="4" w:space="0"/>
              <w:right w:val="single" w:color="auto" w:sz="4" w:space="0"/>
            </w:tcBorders>
            <w:noWrap/>
            <w:vAlign w:val="center"/>
          </w:tcPr>
          <w:p w14:paraId="5FFED5C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3181" w:type="dxa"/>
            <w:tcBorders>
              <w:top w:val="nil"/>
              <w:left w:val="nil"/>
              <w:bottom w:val="single" w:color="auto" w:sz="4" w:space="0"/>
              <w:right w:val="single" w:color="auto" w:sz="4" w:space="0"/>
            </w:tcBorders>
            <w:noWrap/>
            <w:vAlign w:val="center"/>
          </w:tcPr>
          <w:p w14:paraId="244522A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789" w:type="dxa"/>
            <w:tcBorders>
              <w:top w:val="nil"/>
              <w:left w:val="nil"/>
              <w:bottom w:val="single" w:color="auto" w:sz="4" w:space="0"/>
              <w:right w:val="single" w:color="auto" w:sz="4" w:space="0"/>
            </w:tcBorders>
            <w:noWrap/>
            <w:vAlign w:val="center"/>
          </w:tcPr>
          <w:p w14:paraId="47FC49F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95" w:type="dxa"/>
            <w:tcBorders>
              <w:top w:val="nil"/>
              <w:left w:val="single" w:color="auto" w:sz="4" w:space="0"/>
              <w:bottom w:val="single" w:color="auto" w:sz="4" w:space="0"/>
              <w:right w:val="single" w:color="auto" w:sz="4" w:space="0"/>
            </w:tcBorders>
            <w:noWrap/>
            <w:vAlign w:val="center"/>
          </w:tcPr>
          <w:p w14:paraId="2F4914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50" w:type="dxa"/>
            <w:tcBorders>
              <w:top w:val="nil"/>
              <w:left w:val="nil"/>
              <w:bottom w:val="single" w:color="auto" w:sz="4" w:space="0"/>
              <w:right w:val="single" w:color="auto" w:sz="4" w:space="0"/>
            </w:tcBorders>
            <w:noWrap/>
            <w:vAlign w:val="center"/>
          </w:tcPr>
          <w:p w14:paraId="12846088">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1366" w:type="dxa"/>
            <w:tcBorders>
              <w:top w:val="nil"/>
              <w:left w:val="nil"/>
              <w:bottom w:val="single" w:color="auto" w:sz="4" w:space="0"/>
              <w:right w:val="single" w:color="auto" w:sz="4" w:space="0"/>
            </w:tcBorders>
            <w:noWrap/>
            <w:vAlign w:val="center"/>
          </w:tcPr>
          <w:p w14:paraId="15F3CEB0">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14:paraId="3E7E564F">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r>
      <w:tr w14:paraId="42329197">
        <w:tblPrEx>
          <w:tblCellMar>
            <w:top w:w="0" w:type="dxa"/>
            <w:left w:w="108" w:type="dxa"/>
            <w:bottom w:w="0" w:type="dxa"/>
            <w:right w:w="108" w:type="dxa"/>
          </w:tblCellMar>
        </w:tblPrEx>
        <w:trPr>
          <w:trHeight w:val="758" w:hRule="atLeast"/>
          <w:jc w:val="center"/>
        </w:trPr>
        <w:tc>
          <w:tcPr>
            <w:tcW w:w="8265" w:type="dxa"/>
            <w:gridSpan w:val="6"/>
            <w:tcBorders>
              <w:top w:val="nil"/>
              <w:left w:val="single" w:color="auto" w:sz="4" w:space="0"/>
              <w:bottom w:val="single" w:color="auto" w:sz="4" w:space="0"/>
              <w:right w:val="single" w:color="auto" w:sz="4" w:space="0"/>
            </w:tcBorders>
            <w:noWrap/>
            <w:vAlign w:val="center"/>
          </w:tcPr>
          <w:p w14:paraId="23341387">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合计金额（元）</w:t>
            </w:r>
          </w:p>
        </w:tc>
        <w:tc>
          <w:tcPr>
            <w:tcW w:w="1366" w:type="dxa"/>
            <w:tcBorders>
              <w:top w:val="nil"/>
              <w:left w:val="nil"/>
              <w:bottom w:val="single" w:color="auto" w:sz="4" w:space="0"/>
              <w:right w:val="single" w:color="auto" w:sz="4" w:space="0"/>
            </w:tcBorders>
            <w:noWrap/>
            <w:vAlign w:val="center"/>
          </w:tcPr>
          <w:p w14:paraId="2299C2C0">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14:paraId="028C85AC">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r>
      <w:tr w14:paraId="700A2A54">
        <w:tblPrEx>
          <w:tblCellMar>
            <w:top w:w="0" w:type="dxa"/>
            <w:left w:w="108" w:type="dxa"/>
            <w:bottom w:w="0" w:type="dxa"/>
            <w:right w:w="108" w:type="dxa"/>
          </w:tblCellMar>
        </w:tblPrEx>
        <w:trPr>
          <w:trHeight w:val="1737" w:hRule="atLeast"/>
          <w:jc w:val="center"/>
        </w:trPr>
        <w:tc>
          <w:tcPr>
            <w:tcW w:w="10617" w:type="dxa"/>
            <w:gridSpan w:val="8"/>
            <w:tcBorders>
              <w:top w:val="single" w:color="auto" w:sz="4" w:space="0"/>
              <w:left w:val="single" w:color="auto" w:sz="4" w:space="0"/>
              <w:bottom w:val="single" w:color="auto" w:sz="4" w:space="0"/>
              <w:right w:val="single" w:color="auto" w:sz="4" w:space="0"/>
            </w:tcBorders>
            <w:noWrap w:val="0"/>
            <w:vAlign w:val="center"/>
          </w:tcPr>
          <w:p w14:paraId="0727255B">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14:paraId="58AFB40B">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14:paraId="6DE80AE6">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14:paraId="337DAE96">
      <w:pPr>
        <w:pStyle w:val="5"/>
        <w:rPr>
          <w:rFonts w:hint="eastAsia"/>
          <w:color w:val="auto"/>
        </w:rPr>
      </w:pPr>
    </w:p>
    <w:p w14:paraId="37E4A184">
      <w:pPr>
        <w:pStyle w:val="5"/>
        <w:rPr>
          <w:rFonts w:hint="eastAsia"/>
          <w:color w:val="auto"/>
        </w:rPr>
      </w:pPr>
    </w:p>
    <w:sectPr>
      <w:headerReference r:id="rId5" w:type="default"/>
      <w:footerReference r:id="rId6" w:type="default"/>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A226">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5</w:t>
    </w:r>
    <w:r>
      <w:fldChar w:fldCharType="end"/>
    </w:r>
  </w:p>
  <w:p w14:paraId="47CD4C81">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496C">
    <w:pPr>
      <w:pStyle w:val="11"/>
      <w:framePr w:wrap="around" w:vAnchor="text" w:hAnchor="margin" w:xAlign="center" w:y="1"/>
      <w:rPr>
        <w:rStyle w:val="20"/>
      </w:rPr>
    </w:pPr>
    <w:r>
      <w:fldChar w:fldCharType="begin"/>
    </w:r>
    <w:r>
      <w:rPr>
        <w:rStyle w:val="20"/>
      </w:rPr>
      <w:instrText xml:space="preserve">PAGE  </w:instrText>
    </w:r>
    <w:r>
      <w:fldChar w:fldCharType="end"/>
    </w:r>
  </w:p>
  <w:p w14:paraId="603D1D2D">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EA4D">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14:paraId="78A25B56">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0B5A">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WMxNzQxMTEyMDY1OWU5MTQxMzY2MTNlN2U0YTE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57ED4"/>
    <w:rsid w:val="00460A9F"/>
    <w:rsid w:val="00471161"/>
    <w:rsid w:val="004713E6"/>
    <w:rsid w:val="004743D7"/>
    <w:rsid w:val="00477569"/>
    <w:rsid w:val="00482AEE"/>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972FD"/>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171350"/>
    <w:rsid w:val="01EF043C"/>
    <w:rsid w:val="02004666"/>
    <w:rsid w:val="02C50958"/>
    <w:rsid w:val="034844C9"/>
    <w:rsid w:val="0673692E"/>
    <w:rsid w:val="072C5B48"/>
    <w:rsid w:val="077566D6"/>
    <w:rsid w:val="07CF155D"/>
    <w:rsid w:val="07D0301F"/>
    <w:rsid w:val="07DA0C1A"/>
    <w:rsid w:val="08031F33"/>
    <w:rsid w:val="09EF451D"/>
    <w:rsid w:val="0B2868CF"/>
    <w:rsid w:val="0D076022"/>
    <w:rsid w:val="0E454031"/>
    <w:rsid w:val="0E8D1DEF"/>
    <w:rsid w:val="11F41C82"/>
    <w:rsid w:val="130B6793"/>
    <w:rsid w:val="132C233E"/>
    <w:rsid w:val="14757C39"/>
    <w:rsid w:val="160300F0"/>
    <w:rsid w:val="1A8F5F2A"/>
    <w:rsid w:val="1ACF2E1C"/>
    <w:rsid w:val="1AD93753"/>
    <w:rsid w:val="1BD17B4E"/>
    <w:rsid w:val="1BEE40DB"/>
    <w:rsid w:val="1C5648D0"/>
    <w:rsid w:val="1D5E1C8E"/>
    <w:rsid w:val="1DD17803"/>
    <w:rsid w:val="1E2B303C"/>
    <w:rsid w:val="20DC6D2F"/>
    <w:rsid w:val="20EC28DD"/>
    <w:rsid w:val="2146522D"/>
    <w:rsid w:val="21FF2EC3"/>
    <w:rsid w:val="226F3F88"/>
    <w:rsid w:val="22A91618"/>
    <w:rsid w:val="23BD2859"/>
    <w:rsid w:val="24C1700A"/>
    <w:rsid w:val="24DE0B87"/>
    <w:rsid w:val="26F07FCB"/>
    <w:rsid w:val="27C13545"/>
    <w:rsid w:val="27D75C47"/>
    <w:rsid w:val="29930F11"/>
    <w:rsid w:val="2A096883"/>
    <w:rsid w:val="2A175D22"/>
    <w:rsid w:val="2A6D5A35"/>
    <w:rsid w:val="2B0840BB"/>
    <w:rsid w:val="2EA07D11"/>
    <w:rsid w:val="2ED55B28"/>
    <w:rsid w:val="30DF5A08"/>
    <w:rsid w:val="31745DB0"/>
    <w:rsid w:val="319A366D"/>
    <w:rsid w:val="32676231"/>
    <w:rsid w:val="327336C7"/>
    <w:rsid w:val="333756F9"/>
    <w:rsid w:val="33996A7B"/>
    <w:rsid w:val="35727641"/>
    <w:rsid w:val="35AE4D75"/>
    <w:rsid w:val="37AD7642"/>
    <w:rsid w:val="38177E75"/>
    <w:rsid w:val="39033296"/>
    <w:rsid w:val="39F64920"/>
    <w:rsid w:val="3AF95EC1"/>
    <w:rsid w:val="3D277DCD"/>
    <w:rsid w:val="3D852F6B"/>
    <w:rsid w:val="3F2004D3"/>
    <w:rsid w:val="40631F61"/>
    <w:rsid w:val="40AD1589"/>
    <w:rsid w:val="42470693"/>
    <w:rsid w:val="42B24ED5"/>
    <w:rsid w:val="452272A7"/>
    <w:rsid w:val="4709043D"/>
    <w:rsid w:val="481C306C"/>
    <w:rsid w:val="49083F6F"/>
    <w:rsid w:val="4DAB1AD6"/>
    <w:rsid w:val="4F2F6737"/>
    <w:rsid w:val="4F914E79"/>
    <w:rsid w:val="4FE10423"/>
    <w:rsid w:val="51F53C68"/>
    <w:rsid w:val="52EA5606"/>
    <w:rsid w:val="534F01DF"/>
    <w:rsid w:val="53C52166"/>
    <w:rsid w:val="5453510B"/>
    <w:rsid w:val="54A706BC"/>
    <w:rsid w:val="54AB47E7"/>
    <w:rsid w:val="54CF254E"/>
    <w:rsid w:val="550E00B5"/>
    <w:rsid w:val="55195EBF"/>
    <w:rsid w:val="5886386C"/>
    <w:rsid w:val="5A10080A"/>
    <w:rsid w:val="5A774BB3"/>
    <w:rsid w:val="5A8B631B"/>
    <w:rsid w:val="5AFE64EE"/>
    <w:rsid w:val="5B6C3C8D"/>
    <w:rsid w:val="5B70610D"/>
    <w:rsid w:val="5C6F1165"/>
    <w:rsid w:val="5D62767F"/>
    <w:rsid w:val="5DF66D9E"/>
    <w:rsid w:val="5F0E7E2B"/>
    <w:rsid w:val="5F1B7866"/>
    <w:rsid w:val="5FBB4B19"/>
    <w:rsid w:val="613F17D1"/>
    <w:rsid w:val="6275395C"/>
    <w:rsid w:val="62977E5F"/>
    <w:rsid w:val="63221847"/>
    <w:rsid w:val="63E03D91"/>
    <w:rsid w:val="658D75B8"/>
    <w:rsid w:val="663E12F3"/>
    <w:rsid w:val="66B22C7D"/>
    <w:rsid w:val="67F85ADC"/>
    <w:rsid w:val="68203F4F"/>
    <w:rsid w:val="68460921"/>
    <w:rsid w:val="68B757CC"/>
    <w:rsid w:val="69AC0C58"/>
    <w:rsid w:val="69EA269B"/>
    <w:rsid w:val="6A9F256B"/>
    <w:rsid w:val="6B6F63E1"/>
    <w:rsid w:val="6DE704B1"/>
    <w:rsid w:val="6EB81C75"/>
    <w:rsid w:val="6FDA3C97"/>
    <w:rsid w:val="72752B0B"/>
    <w:rsid w:val="731C6D03"/>
    <w:rsid w:val="74E46012"/>
    <w:rsid w:val="76DD4B47"/>
    <w:rsid w:val="77673D0A"/>
    <w:rsid w:val="776C273E"/>
    <w:rsid w:val="77BD3BF7"/>
    <w:rsid w:val="780F6E64"/>
    <w:rsid w:val="7A3A5E0C"/>
    <w:rsid w:val="7CFE1373"/>
    <w:rsid w:val="7D603C4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7"/>
    <w:unhideWhenUsed/>
    <w:qFormat/>
    <w:uiPriority w:val="0"/>
    <w:pPr>
      <w:ind w:firstLine="420" w:firstLineChars="200"/>
    </w:pPr>
    <w:rPr>
      <w:lang w:val="en-US" w:eastAsia="zh-CN"/>
    </w:rPr>
  </w:style>
  <w:style w:type="paragraph" w:styleId="7">
    <w:name w:val="Body Text Indent"/>
    <w:basedOn w:val="1"/>
    <w:qFormat/>
    <w:uiPriority w:val="0"/>
    <w:pPr>
      <w:spacing w:line="400" w:lineRule="atLeast"/>
      <w:ind w:firstLine="560" w:firstLineChars="200"/>
    </w:pPr>
    <w:rPr>
      <w:rFonts w:hint="eastAsia" w:ascii="仿宋_GB2312" w:hAnsi="LinePrinter" w:eastAsia="仿宋_GB2312"/>
      <w:sz w:val="28"/>
      <w:szCs w:val="20"/>
    </w:rPr>
  </w:style>
  <w:style w:type="paragraph" w:styleId="8">
    <w:name w:val="Date"/>
    <w:basedOn w:val="1"/>
    <w:next w:val="1"/>
    <w:qFormat/>
    <w:uiPriority w:val="0"/>
    <w:pPr>
      <w:ind w:left="100" w:leftChars="2500"/>
    </w:pPr>
    <w:rPr>
      <w:rFonts w:ascii="仿宋_GB2312" w:eastAsia="仿宋_GB2312"/>
      <w:sz w:val="28"/>
    </w:rPr>
  </w:style>
  <w:style w:type="paragraph" w:styleId="9">
    <w:name w:val="Body Text Indent 2"/>
    <w:basedOn w:val="1"/>
    <w:qFormat/>
    <w:uiPriority w:val="0"/>
    <w:pPr>
      <w:spacing w:line="560" w:lineRule="exact"/>
      <w:ind w:firstLine="560"/>
    </w:pPr>
    <w:rPr>
      <w:rFonts w:ascii="仿宋_GB2312" w:hAnsi="宋体" w:eastAsia="仿宋_GB2312"/>
      <w:sz w:val="28"/>
      <w:szCs w:val="20"/>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607"/>
      </w:tabs>
      <w:spacing w:line="360" w:lineRule="auto"/>
    </w:pPr>
    <w:rPr>
      <w:rFonts w:ascii="宋体" w:hAnsi="宋体"/>
    </w:rPr>
  </w:style>
  <w:style w:type="paragraph" w:styleId="15">
    <w:name w:val="Normal (Web)"/>
    <w:basedOn w:val="1"/>
    <w:qFormat/>
    <w:uiPriority w:val="0"/>
    <w:rPr>
      <w:sz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customStyle="1" w:styleId="21">
    <w:name w:val="标题 3 字符"/>
    <w:link w:val="4"/>
    <w:semiHidden/>
    <w:qFormat/>
    <w:uiPriority w:val="0"/>
    <w:rPr>
      <w:b/>
      <w:bCs/>
      <w:kern w:val="2"/>
      <w:sz w:val="32"/>
      <w:szCs w:val="32"/>
    </w:rPr>
  </w:style>
  <w:style w:type="character" w:customStyle="1" w:styleId="22">
    <w:name w:val="批注框文本 字符"/>
    <w:link w:val="10"/>
    <w:qFormat/>
    <w:uiPriority w:val="0"/>
    <w:rPr>
      <w:kern w:val="2"/>
      <w:sz w:val="18"/>
      <w:szCs w:val="18"/>
    </w:rPr>
  </w:style>
  <w:style w:type="character" w:customStyle="1" w:styleId="23">
    <w:name w:val="页眉 字符"/>
    <w:link w:val="13"/>
    <w:qFormat/>
    <w:uiPriority w:val="99"/>
    <w:rPr>
      <w:kern w:val="2"/>
      <w:sz w:val="18"/>
      <w:szCs w:val="18"/>
    </w:rPr>
  </w:style>
  <w:style w:type="character" w:customStyle="1" w:styleId="24">
    <w:name w:val="页脚2 Char"/>
    <w:link w:val="25"/>
    <w:qFormat/>
    <w:uiPriority w:val="0"/>
    <w:rPr>
      <w:rFonts w:ascii="宋体" w:hAnsi="宋体"/>
      <w:sz w:val="18"/>
    </w:rPr>
  </w:style>
  <w:style w:type="paragraph" w:customStyle="1" w:styleId="25">
    <w:name w:val="页脚2"/>
    <w:basedOn w:val="1"/>
    <w:link w:val="24"/>
    <w:qFormat/>
    <w:uiPriority w:val="0"/>
    <w:pPr>
      <w:widowControl/>
      <w:pBdr>
        <w:top w:val="single" w:color="auto" w:sz="6" w:space="0"/>
      </w:pBdr>
      <w:jc w:val="right"/>
      <w:textAlignment w:val="center"/>
    </w:pPr>
    <w:rPr>
      <w:rFonts w:ascii="宋体" w:hAnsi="宋体"/>
      <w:kern w:val="0"/>
      <w:sz w:val="18"/>
      <w:szCs w:val="20"/>
    </w:rPr>
  </w:style>
  <w:style w:type="character" w:customStyle="1" w:styleId="26">
    <w:name w:val="style171"/>
    <w:qFormat/>
    <w:uiPriority w:val="0"/>
    <w:rPr>
      <w:color w:val="000000"/>
    </w:rPr>
  </w:style>
  <w:style w:type="paragraph" w:styleId="2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msonormal 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51"/>
    <w:qFormat/>
    <w:uiPriority w:val="0"/>
    <w:rPr>
      <w:rFonts w:ascii="微软雅黑" w:hAnsi="微软雅黑" w:eastAsia="微软雅黑" w:cs="微软雅黑"/>
      <w:color w:val="000000"/>
      <w:sz w:val="24"/>
      <w:szCs w:val="24"/>
      <w:u w:val="none"/>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font41"/>
    <w:qFormat/>
    <w:uiPriority w:val="0"/>
    <w:rPr>
      <w:rFonts w:hint="eastAsia" w:ascii="宋体" w:hAnsi="宋体" w:eastAsia="宋体" w:cs="宋体"/>
      <w:b/>
      <w:bCs/>
      <w:color w:val="000000"/>
      <w:sz w:val="32"/>
      <w:szCs w:val="32"/>
      <w:u w:val="none"/>
    </w:rPr>
  </w:style>
  <w:style w:type="character" w:customStyle="1" w:styleId="32">
    <w:name w:val="font31"/>
    <w:qFormat/>
    <w:uiPriority w:val="0"/>
    <w:rPr>
      <w:rFonts w:hint="eastAsia" w:ascii="宋体" w:hAnsi="宋体" w:eastAsia="宋体" w:cs="宋体"/>
      <w:color w:val="000000"/>
      <w:sz w:val="32"/>
      <w:szCs w:val="32"/>
      <w:u w:val="none"/>
    </w:rPr>
  </w:style>
  <w:style w:type="paragraph" w:customStyle="1" w:styleId="33">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3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6068</Words>
  <Characters>6170</Characters>
  <Lines>125</Lines>
  <Paragraphs>35</Paragraphs>
  <TotalTime>7</TotalTime>
  <ScaleCrop>false</ScaleCrop>
  <LinksUpToDate>false</LinksUpToDate>
  <CharactersWithSpaces>6959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2025-05-13T00:47:00Z</cp:lastPrinted>
  <dcterms:modified xsi:type="dcterms:W3CDTF">2025-09-22T02:56:52Z</dcterms:modified>
  <dc:title>询价通知单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796349A3D3B8499995EF45E8CED2CAE6_13</vt:lpwstr>
  </property>
  <property fmtid="{D5CDD505-2E9C-101B-9397-08002B2CF9AE}" pid="4" name="KSOTemplateDocerSaveRecord">
    <vt:lpwstr>eyJoZGlkIjoiNGZiYTdmMmUzNTA0YTY2MTg4ZGIyMWU3YjEzM2JhNTQiLCJ1c2VySWQiOiI5MDkyNDM2ODUifQ==</vt:lpwstr>
  </property>
</Properties>
</file>